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ProdSG2011V 6 — Priorisierung der Konformitätsbewertung von als krisenrelevante Waren eingestuften Behältern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notifizierte Stelle soll die Anträge auf Konformitätsbewertung der Behälter, die in dem in § 12a Absatz 1 Nummer 1 genannten Durchführungsrechtsakt aufgeführt sind und die den Konformitätsbewertungsverfahren nach § 12 unterliegen, vorrangig bearbeiten. Dies gilt unabhängig davon, ob ein Antrag vor oder nach der Aktivierung des Notfallmodus nach § 12a Absatz 2 Satz 1 gestellt wurde.</w:t>
      </w:r>
    </w:p>
    <w:p>
      <w:r>
        <w:t xml:space="preserve">(2) Dem antragstellenden Hersteller dürfen durch die Priorisierung von Anträgen auf Konformitätsbewertung nach Absatz 1 keine unverhältnismäßigen zusätzlichen Kosten entstehen.</w:t>
      </w:r>
    </w:p>
    <w:p>
      <w:r>
        <w:t xml:space="preserve">(3) Die notifizierten Stellen haben zumutbare Anstrengungen zu unternehmen, ihre Prüfkapazitäten für die Behälter nach Absatz 1 zu erhöhen, für die sie notifiziert wurden.</w:t>
      </w:r>
    </w:p>
    <w:p>
      <w:r>
        <w:rPr>
          <w:color w:val="555555"/>
          <w:sz w:val="17"/>
        </w:rPr>
        <w:t xml:space="preserve">Zitiervorschlag: § 12b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