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ProdSG2011V 6 — Konformitätsbewertungsverfahren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Für einfache Druckbehälter mit einem Druckinhaltsprodukt von mehr als 50 bar∙Liter sind entsprechend den Vorgaben des Artikels 13 Absatz 1 und 2 der Richtlinie 2014/29/EU in der Fassung vom 9. Oktober 2024 die Konformitätsbewertungsverfahren durchzuführen.</w:t>
      </w:r>
    </w:p>
    <w:p>
      <w:r>
        <w:t xml:space="preserve">(2) Die Aufzeichnungen und der Schriftwechsel im Zusammenhang mit den Konformitätsbewertungsverfahren sind in deutscher Sprache oder in einer von der notifizierten Stelle anerkannten Sprache abzufassen.</w:t>
      </w:r>
    </w:p>
    <w:p>
      <w:r>
        <w:rPr>
          <w:color w:val="555555"/>
          <w:sz w:val="17"/>
        </w:rPr>
        <w:t xml:space="preserve">Zitiervorschlag: § 12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