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ProdSG2011V 6 — Angabe der Wirtschaftsakteure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Wirtschaftsakteur nennt den Marktüberwachungsbehörden auf deren Verlangen die Wirtschaftsakteure,</w:t>
      </w:r>
    </w:p>
    <w:p>
      <w:pPr>
        <w:ind w:left="420"/>
      </w:pPr>
      <w:r>
        <w:t xml:space="preserve">1. von denen er einen einfachen Druckbehälter bezogen hat und</w:t>
      </w:r>
    </w:p>
    <w:p>
      <w:pPr>
        <w:ind w:left="420"/>
      </w:pPr>
      <w:r>
        <w:t xml:space="preserve">2. an die er einen einfachen Druckbehälter abgegeben hat.</w:t>
      </w:r>
    </w:p>
    <w:p>
      <w:r>
        <w:t xml:space="preserve">(2) Der Wirtschaftsakteur muss die Angaben nach Absatz 1 für die Dauer von zehn Jahren nach dem Bezug des einfachen Druckbehälters sowie nach der Abgabe des einfachen Druckbehälters vorlegen können.</w:t>
      </w:r>
    </w:p>
    <w:p>
      <w:r>
        <w:rPr>
          <w:color w:val="555555"/>
          <w:sz w:val="17"/>
        </w:rPr>
        <w:t xml:space="preserve">Zitiervorschlag: § 11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