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ProdSG2011V 6 — Anwendungsbereich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auf neue serienmäßig hergestellte einfache Druckbehälter anzuwenden, die auf dem Markt bereitgestellt werden.</w:t>
      </w:r>
    </w:p>
    <w:p>
      <w:r>
        <w:t xml:space="preserve">(2) Diese Verordnung ist nicht anzuwenden auf</w:t>
      </w:r>
    </w:p>
    <w:p>
      <w:pPr>
        <w:ind w:left="420"/>
      </w:pPr>
      <w:r>
        <w:t xml:space="preserve">1. einfache Druckbehälter, die speziell für eine Verwendung in der Kerntechnik vorgesehen sind und bei denen Schäden die Freisetzung radioaktiver Stoffe zur Folge haben können,</w:t>
      </w:r>
    </w:p>
    <w:p>
      <w:pPr>
        <w:ind w:left="420"/>
      </w:pPr>
      <w:r>
        <w:t xml:space="preserve">2. einfache Druckbehälter, die speziell zur Ausstattung oder für den Antrieb von Wasserfahrzeugen oder Luftfahrzeugen bestimmt sind,</w:t>
      </w:r>
    </w:p>
    <w:p>
      <w:pPr>
        <w:ind w:left="420"/>
      </w:pPr>
      <w:r>
        <w:t xml:space="preserve">3. Feuerlöscher.</w:t>
      </w:r>
    </w:p>
    <w:p>
      <w:r>
        <w:rPr>
          <w:color w:val="555555"/>
          <w:sz w:val="17"/>
        </w:rPr>
        <w:t xml:space="preserve">Zitiervorschlag: § 1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