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ProdSG2011V 12 — Konformitätsvermutung</w:t>
      </w:r>
    </w:p>
    <w:p>
      <w:r>
        <w:rPr>
          <w:color w:val="555555"/>
          <w:sz w:val="18"/>
        </w:rPr>
        <w:t xml:space="preserve">Aufzugsverordnung</w:t>
      </w:r>
    </w:p>
    <w:p>
      <w:r>
        <w:rPr>
          <w:color w:val="555555"/>
          <w:sz w:val="18"/>
        </w:rPr>
        <w:t xml:space="preserve">Stand: 30.05.2026 (konsolidierte Textfassung, kein amtliches Inkrafttretensdatum)</w:t>
      </w:r>
    </w:p>
    <w:p>
      <w:r>
        <w:t xml:space="preserve">Bei denjenigen Aufzügen und Sicherheitsbauteilen für Aufzüge, die harmonisierten Normen oder Teilen dieser Normen entsprechen, deren Fundstellen im Amtsblatt der Europäischen Union veröffentlicht worden sind, wird vermutet, dass sie die wesentlichen Gesundheitsschutz- und Sicherheitsanforderungen nach Anhang I der Richtlinie 2014/33/EU in der Fassung vom 9. Oktober 2024 erfüllen, soweit diese von den betreffenden Normen oder von Teilen dieser Normen abgedeckt sind.</w:t>
      </w:r>
    </w:p>
    <w:p>
      <w:r>
        <w:rPr>
          <w:color w:val="555555"/>
          <w:sz w:val="17"/>
        </w:rPr>
        <w:t xml:space="preserve">Zitiervorschlag: § 4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