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ProdSG2011V 12 — Inkrafttreten, Außerkrafttreten</w:t>
      </w:r>
    </w:p>
    <w:p>
      <w:r>
        <w:rPr>
          <w:color w:val="555555"/>
          <w:sz w:val="18"/>
        </w:rPr>
        <w:t xml:space="preserve">Aufzugsverordnung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20. April 2016 in Kraft. Gleichzeitig tritt die Aufzugsverordnung vom 17. Juni 1998 (BGBl. I S. 1393), die zuletzt durch Artikel 22 des Gesetzes vom 8. November 2011 (BGBl. I S. 2178) geändert worden ist, außer Kraft.</w:t>
      </w:r>
    </w:p>
    <w:p>
      <w:r>
        <w:rPr>
          <w:color w:val="555555"/>
          <w:sz w:val="17"/>
        </w:rPr>
        <w:t xml:space="preserve">Zitiervorschlag: § 24 ProdSG2011V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https://recht.nulegal.eu/gesetze/ProdSG2011V%2012/24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