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ProdSG2011V 12 — Übergangsvorschriften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Aufzüge, die die Anforderungen der Richtlinie 95/16/EG in der Fassung vom 25. Oktober 2012, die durch die Richtlinie 2014/33/EU aufgehoben worden ist, erfüllen und vor dem 20. April 2016 in den Verkehr gebracht wurden, dürfen in Betrieb genommen werden.</w:t>
      </w:r>
    </w:p>
    <w:p>
      <w:r>
        <w:t xml:space="preserve">(2) Sicherheitsbauteile für Aufzüge, die die Anforderungen der Richtlinie 95/16/EG erfüllen und vor dem 20. April 2016 in den Verkehr gebracht wurden, dürfen auf dem Markt bereitgestellt werden.</w:t>
      </w:r>
    </w:p>
    <w:p>
      <w:r>
        <w:t xml:space="preserve">(3) Bescheinigungen, die von notifizierten Stellen gemäß der Richtlinie 95/16/EG ausgestellt worden sind, und Beschlüsse, die von notifizierten Stellen gemäß der Richtlinie 95/16/EG gefasst worden sind, bleiben im Rahmen dieser Verordnung gültig.</w:t>
      </w:r>
    </w:p>
    <w:p>
      <w:r>
        <w:rPr>
          <w:color w:val="555555"/>
          <w:sz w:val="17"/>
        </w:rPr>
        <w:t xml:space="preserve">Zitiervorschlag: § 23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