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ProdSG2011V 12 — Ordnungswidrigkeiten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5 Absatz 2 Satz 1 oder § 7 Absatz 2 Satz 1 einen Aufzug oder ein Sicherheitsbauteil für Aufzüge in den Verkehr bringt,</w:t>
      </w:r>
    </w:p>
    <w:p>
      <w:pPr>
        <w:ind w:left="420"/>
      </w:pPr>
      <w:r>
        <w:t xml:space="preserve">2. entgegen § 5 Absatz 2 Satz 3 oder § 7 Absatz 2 Satz 3 nicht sicherstellt, dass dem Aufzug oder dem Sicherheitsbauteil für Aufzüge die EU-Konformitätserklärung beigefügt ist,</w:t>
      </w:r>
    </w:p>
    <w:p>
      <w:pPr>
        <w:ind w:left="420"/>
      </w:pPr>
      <w:r>
        <w:t xml:space="preserve">3. entgegen § 6 Absatz 1 oder § 8 Absatz 1 Satz 1 nicht dafür sorgt, dass ein Aufzug oder ein Sicherheitsbauteil für Aufzüge eine dort genannte Nummer oder eine andere Information trägt,</w:t>
      </w:r>
    </w:p>
    <w:p>
      <w:pPr>
        <w:ind w:left="420"/>
      </w:pPr>
      <w:r>
        <w:t xml:space="preserve">4. entgegen § 6 Absatz 2 Satz 1, § 8 Absatz 2 Satz 1 oder § 11 Absatz 1 Satz 1 dort genannte Daten nicht, nicht richtig, nicht vollständig oder nicht rechtzeitig anbringt,</w:t>
      </w:r>
    </w:p>
    <w:p>
      <w:pPr>
        <w:ind w:left="420"/>
      </w:pPr>
      <w:r>
        <w:t xml:space="preserve">5. entgegen § 6 Absatz 3 oder § 8 Absatz 3 nicht dafür sorgt, dass einem Aufzug oder einem Sicherheitsbauteil für Aufzüge eine Betriebsanleitung beigefügt ist,</w:t>
      </w:r>
    </w:p>
    <w:p>
      <w:pPr>
        <w:ind w:left="420"/>
      </w:pPr>
      <w:r>
        <w:t xml:space="preserve">6. entgegen § 8 Absatz 1 Satz 2 nicht dafür sorgt, dass eine dort genannte Information angegeben wird,</w:t>
      </w:r>
    </w:p>
    <w:p>
      <w:pPr>
        <w:ind w:left="420"/>
      </w:pPr>
      <w:r>
        <w:t xml:space="preserve">7. entgegen § 10 Absatz 2 Nummer 1, 3 oder Nummer 4 ein Sicherheitsbauteil für Aufzüge in den Verkehr bringt oder</w:t>
      </w:r>
    </w:p>
    <w:p>
      <w:pPr>
        <w:ind w:left="420"/>
      </w:pPr>
      <w:r>
        <w:t xml:space="preserve">8. entgegen § 16c Absatz 6 Satz 1 einen Hinweis nicht, nicht richtig, nicht vollständig oder nicht rechtzeitig anbringt.</w:t>
      </w:r>
    </w:p>
    <w:p>
      <w:r>
        <w:t xml:space="preserve">(2) Ordnungswidrig im Sinne des § 28 Absatz 1 Nummer 7 Buchstabe b des Produktsicherheitsgesetzes handelt, wer vorsätzlich oder fahrlässig</w:t>
      </w:r>
    </w:p>
    <w:p>
      <w:pPr>
        <w:ind w:left="420"/>
      </w:pPr>
      <w:r>
        <w:t xml:space="preserve">1. entgegen § 5 Absatz 3 oder § 7 Absatz 3, jeweils auch in Verbindung mit § 9 Absatz 3 Nummer 1, oder entgegen § 11 Absatz 2 eine technische Unterlage, die EU-Konformitätserklärung oder eine Zulassung nicht oder nicht mindestens zehn Jahre bereithält,</w:t>
      </w:r>
    </w:p>
    <w:p>
      <w:pPr>
        <w:ind w:left="420"/>
      </w:pPr>
      <w:r>
        <w:t xml:space="preserve">2. entgegen § 6 Absatz 5 Satz 1 oder § 8 Absatz 5 Satz 1, jeweils auch in Verbindung mit § 9 Absatz 3 Nummer 2, entgegen § 11 Absatz 3 Satz 1 oder § 12 Absatz 6 Satz 1 eine Information oder eine Unterlage nicht, nicht richtig, nicht vollständig, nicht in der vorgeschriebenen Weise oder nicht rechtzeitig zur Verfügung stellt oder</w:t>
      </w:r>
    </w:p>
    <w:p>
      <w:pPr>
        <w:ind w:left="420"/>
      </w:pPr>
      <w:r>
        <w:t xml:space="preserve">3. entgegen § 14 Absatz 1 einen Wirtschaftsakteur nicht oder nicht rechtzeitig nennt.</w:t>
      </w:r>
    </w:p>
    <w:p>
      <w:r>
        <w:rPr>
          <w:color w:val="555555"/>
          <w:sz w:val="17"/>
        </w:rPr>
        <w:t xml:space="preserve">Zitiervorschlag: § 21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