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ProdSG2011V 12 — Konformitätsbewertungsverfahren für Sicherheitsbauteile für Aufzüge</w:t>
      </w:r>
    </w:p>
    <w:p>
      <w:r>
        <w:rPr>
          <w:color w:val="555555"/>
          <w:sz w:val="18"/>
        </w:rPr>
        <w:t xml:space="preserve">Aufzugsverordnung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Für Sicherheitsbauteile für Aufzüge sind die Konformitätsbewertungsverfahren nach Artikel 15 in Verbindung mit Anhang IV Teil A, den Anhängen VI, VII oder Anhang IX der Richtlinie 2014/33/EU in der Fassung vom 9. Oktober 2024 durchzuführen.</w:t>
      </w:r>
    </w:p>
    <w:p>
      <w:r>
        <w:rPr>
          <w:color w:val="555555"/>
          <w:sz w:val="17"/>
        </w:rPr>
        <w:t xml:space="preserve">Zitiervorschlag: § 16 ProdSG2011V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https://recht.nulegal.eu/gesetze/ProdSG2011V%2012/16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