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ProdSG2011V 12 — Angabe der Wirtschaftsakteure</w:t>
      </w:r>
    </w:p>
    <w:p>
      <w:r>
        <w:rPr>
          <w:color w:val="555555"/>
          <w:sz w:val="18"/>
        </w:rPr>
        <w:t xml:space="preserve">Aufzugsverordnung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Wirtschaftsakteur nennt den Marktüberwachungsbehörden auf deren Verlangen die Wirtschaftsakteure,</w:t>
      </w:r>
    </w:p>
    <w:p>
      <w:pPr>
        <w:ind w:left="420"/>
      </w:pPr>
      <w:r>
        <w:t xml:space="preserve">1. von denen er ein Sicherheitsbauteil für Aufzüge bezogen hat und</w:t>
      </w:r>
    </w:p>
    <w:p>
      <w:pPr>
        <w:ind w:left="420"/>
      </w:pPr>
      <w:r>
        <w:t xml:space="preserve">2. an die er ein Sicherheitsbauteil für Aufzüge abgegeben hat.</w:t>
      </w:r>
    </w:p>
    <w:p>
      <w:r>
        <w:t xml:space="preserve">(2) Der Wirtschaftsakteur muss die Angaben nach Absatz 1 für die Dauer von zehn Jahren nach dem Bezug des Sicherheitsbauteils für Aufzüge sowie nach der Abgabe des Sicherheitsbauteils für Aufzüge bereithalten.</w:t>
      </w:r>
    </w:p>
    <w:p>
      <w:r>
        <w:rPr>
          <w:color w:val="555555"/>
          <w:sz w:val="17"/>
        </w:rPr>
        <w:t xml:space="preserve">Zitiervorschlag: § 14 ProdSG2011V 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https://recht.nulegal.eu/gesetze/ProdSG2011V%2012/14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