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ProdSG2011V 10 — Grundlegende Anforderungen</w:t>
      </w:r>
    </w:p>
    <w:p>
      <w:r>
        <w:rPr>
          <w:color w:val="555555"/>
          <w:sz w:val="18"/>
        </w:rPr>
        <w:t xml:space="preserve">Verordnung über Sportboote und Wassermotorräder</w:t>
      </w:r>
    </w:p>
    <w:p>
      <w:r>
        <w:rPr>
          <w:color w:val="555555"/>
          <w:sz w:val="18"/>
        </w:rPr>
        <w:t xml:space="preserve">Stand: 10.06.2019 (konsolidierte Textfassung, kein amtliches Inkrafttretensdatum)</w:t>
      </w:r>
    </w:p>
    <w:p>
      <w:r>
        <w:t xml:space="preserve">Die in § 1 Absatz 1 genannten Produkte dürfen nur dann auf dem Markt bereitgestellt oder erstmals verwendet werden, wenn sie bei sachgemäßer Instandhaltung und Verwendung entsprechend ihrer Zweckbestimmung weder die Gesundheit und die Sicherheit von Personen und Sachen noch die Umwelt gefährden und zugleich die Anforderungen des Anhangs I der Richtlinie 2013/53/EU erfüllen.</w:t>
      </w:r>
    </w:p>
    <w:p>
      <w:r>
        <w:rPr>
          <w:color w:val="555555"/>
          <w:sz w:val="17"/>
        </w:rPr>
        <w:t xml:space="preserve">Zitiervorschlag: § 3 ProdSG2011V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