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ProdSG2011V 10 — Übergangsvorschriften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Produkte, die den Anforderungen der</w:t>
      </w:r>
    </w:p>
    <w:p>
      <w:pPr>
        <w:ind w:left="420"/>
      </w:pPr>
      <w:r>
        <w:t xml:space="preserve">1. Verordnung über die Bereitstellung von Sportbooten und den Verkehr mit Sportbooten vom 9. Juli 2004 (BGBl. I S. 1605), die zuletzt durch Artikel 2 § 4 der Verordnung vom 20. Dezember 2012 (BGBl. I S. 2802) geändert worden ist, oder</w:t>
      </w:r>
    </w:p>
    <w:p>
      <w:pPr>
        <w:ind w:left="420"/>
      </w:pPr>
      <w:r>
        <w:t xml:space="preserve">2. entsprechenden Bestimmungen der anderen Mitgliedstaaten zur Umsetzung der Richtlinie 94/25/EG des Europäischen Parlaments und des Rates vom 16. Juni 1994 zur Angleichung der Rechts- und Verwaltungsvorschriften der Mitgliedstaaten über Sportboote (ABl. L 164 vom 30.6.1994, S. 15), die durch die Richtlinie 2003/44/EG (ABl. L 214 vom 26.8.2003, S. 18) geändert worden ist, genügen</w:t>
      </w:r>
    </w:p>
    <w:p>
      <w:r>
        <w:t xml:space="preserve">und die vor dem 18. Januar 2017 in Verkehr gebracht oder erstmalig verwendet werden, dürfen auf dem Markt bereitgestellt oder in Betrieb genommen werden.</w:t>
      </w:r>
    </w:p>
    <w:p>
      <w:r>
        <w:t xml:space="preserve">(2) Fremdzündungs-Außenbordmotoren mit einer Leistung kleiner oder gleich 15 Kilowatt, die den in Anhang I Teil B Nummer 2.1 der Richtlinie 2013/53/EU festgelegten Grenzwerten für Abgasemissionen entsprechen, die von kleinen und mittleren Unternehmen im Sinne der Begriffsbestimmungen in der Empfehlung 2003/361/EG der Kommission vom 6. Mai 2003 betreffend die Definition der Kleinstunternehmen sowie der kleinen und mittleren Unternehmen (ABl. L 124 vom 20.5.2003, S. 36) hergestellt wurden und vor dem 18. Januar 2020 in Verkehr gebracht werden, dürfen auf dem Markt bereitgestellt oder in Betrieb genommen werden.</w:t>
      </w:r>
    </w:p>
    <w:p>
      <w:r>
        <w:rPr>
          <w:color w:val="555555"/>
          <w:sz w:val="17"/>
        </w:rPr>
        <w:t xml:space="preserve">Zitiervorschlag: § 27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