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ProdSG2011V 10 — Technische Unterlagen</w:t>
      </w:r>
    </w:p>
    <w:p>
      <w:r>
        <w:rPr>
          <w:color w:val="555555"/>
          <w:sz w:val="18"/>
        </w:rPr>
        <w:t xml:space="preserve">Verordnung über Sportboote und Wassermotorräder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§ 5 Absatz 2 genannten technischen Unterlagen haben alle sachdienlichen Angaben und Einzelheiten zu den Mitteln zu enthalten, mit denen der Hersteller sicherstellt, dass das Produkt den Anforderungen nach § 3 dieser Verordnung und Anhang I der Richtlinie 2013/53/EU entspricht. Insbesondere umfassen sie die in Anhang IX der Richtlinie 2013/53/EU aufgeführten einschlägigen Unterlagen.</w:t>
      </w:r>
    </w:p>
    <w:p>
      <w:r>
        <w:t xml:space="preserve">(2) Die technischen Unterlagen müssen so hergestellt sein, dass der Entwurf, die Herstellung und die Funktionsweise sowie die Konformitätsbewertung des Produkts klar verstanden werden können.</w:t>
      </w:r>
    </w:p>
    <w:p>
      <w:r>
        <w:rPr>
          <w:color w:val="555555"/>
          <w:sz w:val="17"/>
        </w:rPr>
        <w:t xml:space="preserve">Zitiervorschlag: § 21 ProdSG2011V 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https://recht.nulegal.eu/gesetze/ProdSG2011V%2010/21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