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ProdSG2011V 10 — Konformitätsbewertungsverfahren</w:t>
      </w:r>
    </w:p>
    <w:p>
      <w:r>
        <w:rPr>
          <w:color w:val="555555"/>
          <w:sz w:val="18"/>
        </w:rPr>
        <w:t xml:space="preserve">Verordnung über Sportboote und Wassermotorräder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Bevor der Hersteller ein Produkt in Verkehr bringt, muss er eines der in den §§ 16 bis 18 genannten Konformitätsbewertungsverfahren durchführen.</w:t>
      </w:r>
    </w:p>
    <w:p>
      <w:r>
        <w:t xml:space="preserve">(2) Hat der Hersteller das in Absatz 1 genannte Konformitätsbewertungsverfahren nicht durchgeführt, ist vom privaten Einführer das Konformitätsbewertungsverfahren nach § 19 durchzuführen, bevor er ein in § 1 Absatz 1 genanntes Produkt erstmals verwendet.</w:t>
      </w:r>
    </w:p>
    <w:p>
      <w:r>
        <w:t xml:space="preserve">(3) Derjenige, der einen Antriebsmotor oder ein Wasserfahrzeug nach Vornahme größerer Veränderungen in Verkehr bringt oder erstmals verwendet, hat vor dem Inverkehrbringen oder der Inbetriebnahme das Konformitätsbewertungsverfahren nach § 19 durchzuführen. Satz 1 gilt entsprechend für denjenigen, der ein nicht in den Geltungsbereich dieser Verordnung fallendes Wasserfahrzeug so verändert, dass es in den Geltungsbereich dieser Verordnung fällt.</w:t>
      </w:r>
    </w:p>
    <w:p>
      <w:r>
        <w:t xml:space="preserve">(4) Derjenige, der ein für den Eigengebrauch gebautes Wasserfahrzeug vor Ablauf der in § 1 Absatz 2 Nummer 1 Buchstabe g genannten Frist in Verkehr bringt, hat vor dem Inverkehrbringen das Konformitätsbewertungsverfahren nach § 19 durchzuführen.</w:t>
      </w:r>
    </w:p>
    <w:p>
      <w:r>
        <w:rPr>
          <w:color w:val="555555"/>
          <w:sz w:val="17"/>
        </w:rPr>
        <w:t xml:space="preserve">Zitiervorschlag: § 15 ProdSG2011V 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https://recht.nulegal.eu/gesetze/ProdSG2011V%2010/15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