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ProdSG2011V 10 — Anwendungsbereich</w:t>
      </w:r>
    </w:p>
    <w:p>
      <w:r>
        <w:rPr>
          <w:color w:val="555555"/>
          <w:sz w:val="18"/>
        </w:rPr>
        <w:t xml:space="preserve">Verordnung über Sportboote und Wassermotorräder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folgende Produkte, die auf dem Markt bereitgestellt oder erstmals verwendet werden:</w:t>
      </w:r>
    </w:p>
    <w:p>
      <w:pPr>
        <w:ind w:left="420"/>
      </w:pPr>
      <w:r>
        <w:t xml:space="preserve">1. Wasserfahrzeuge, die Sportboote, unvollständige Sportboote, Wassermotorräder und unvollständige Wassermotorräder sind,</w:t>
      </w:r>
    </w:p>
    <w:p>
      <w:pPr>
        <w:ind w:left="420"/>
      </w:pPr>
      <w:r>
        <w:t xml:space="preserve">2. in Anhang II der Richtlinie 2013/53/EU des Europäischen Parlaments und des Rates vom 20. November 2013 über Sportboote und Wassermotorräder und zur Aufhebung der Richtlinie 94/25/EG (ABl. L 354 vom 28.12.2013, S. 90, L 297 vom 13.11.2015, S. 9) in der jeweils geltenden Fassung aufgeführte Bauteile, wenn sie selbständig auf dem Unionsmarkt in Verkehr gebracht werden (nachstehend „Bauteile“ genannt),</w:t>
      </w:r>
    </w:p>
    <w:p>
      <w:pPr>
        <w:ind w:left="420"/>
      </w:pPr>
      <w:r>
        <w:t xml:space="preserve">3. Antriebsmotoren, die bei Wasserfahrzeugen angebaut oder eingebaut sind oder speziell für den Anbau an oder den Einbau in diese Fahrzeuge bestimmt sind,</w:t>
      </w:r>
    </w:p>
    <w:p>
      <w:pPr>
        <w:ind w:left="420"/>
      </w:pPr>
      <w:r>
        <w:t xml:space="preserve">4. bei Wasserfahrzeugen angebaute oder eingebaute Antriebsmotoren, an denen ein größerer Umbau des Motors vorgenommen wird,</w:t>
      </w:r>
    </w:p>
    <w:p>
      <w:pPr>
        <w:ind w:left="420"/>
      </w:pPr>
      <w:r>
        <w:t xml:space="preserve">5. Wasserfahrzeuge, bei denen ein größerer Umbau vorgenommen wird und</w:t>
      </w:r>
    </w:p>
    <w:p>
      <w:pPr>
        <w:ind w:left="420"/>
      </w:pPr>
      <w:r>
        <w:t xml:space="preserve">6. Wasserfahrzeuge, die gleichzeitig auch für Charter- oder Sport- und Freizeit-Schulungszwecke verwendet werden können, sofern sie für Freizeitzwecke in Verkehr gebracht werden.</w:t>
      </w:r>
    </w:p>
    <w:p>
      <w:r>
        <w:t xml:space="preserve">(2) Diese Verordnung gilt nicht für folgende Produkte:</w:t>
      </w:r>
    </w:p>
    <w:p>
      <w:pPr>
        <w:ind w:left="420"/>
      </w:pPr>
      <w:r>
        <w:t xml:space="preserve">1. hinsichtlich der in Anhang I Teil A der Richtlinie 2013/53/EU aufgeführten Anforderungen für Entwurf und Bau:</w:t>
      </w:r>
    </w:p>
    <w:p>
      <w:pPr>
        <w:ind w:left="780"/>
      </w:pPr>
      <w:r>
        <w:t xml:space="preserve">a) ausschließlich für Rennen bestimmte und vom Hersteller entsprechend gekennzeichnete Wasserfahrzeuge, einschließlich Rennruderbooten und Trainingsruderbooten,</w:t>
      </w:r>
    </w:p>
    <w:p>
      <w:pPr>
        <w:ind w:left="780"/>
      </w:pPr>
      <w:r>
        <w:t xml:space="preserve">b) Kanus und Kajaks, die für den Vortrieb ausschließlich durch Muskelkraft ausgelegt sind, sowie Gondeln und Tretboote,</w:t>
      </w:r>
    </w:p>
    <w:p>
      <w:pPr>
        <w:ind w:left="780"/>
      </w:pPr>
      <w:r>
        <w:t xml:space="preserve">c) Surfbretter, die ausschließlich für den Vortrieb durch Wind ausgelegt sind und von einer oder mehreren stehenden Personen bedient werden,</w:t>
      </w:r>
    </w:p>
    <w:p>
      <w:pPr>
        <w:ind w:left="780"/>
      </w:pPr>
      <w:r>
        <w:t xml:space="preserve">d) Surfbretter,</w:t>
      </w:r>
    </w:p>
    <w:p>
      <w:pPr>
        <w:ind w:left="780"/>
      </w:pPr>
      <w:r>
        <w:t xml:space="preserve">e) historische Original-Wasserfahrzeuge und vorwiegend mit Originalmaterialien angefertigte und vom Hersteller entsprechend gekennzeichnete einzelne Nachbauten von vor 1950 entworfenen historischen Wasserfahrzeugen,</w:t>
      </w:r>
    </w:p>
    <w:p>
      <w:pPr>
        <w:ind w:left="780"/>
      </w:pPr>
      <w:r>
        <w:t xml:space="preserve">f) Versuchszwecken dienende Wasserfahrzeuge, sofern sie nicht auf dem Unionsmarkt in Verkehr gebracht werden,</w:t>
      </w:r>
    </w:p>
    <w:p>
      <w:pPr>
        <w:ind w:left="780"/>
      </w:pPr>
      <w:r>
        <w:t xml:space="preserve">g) für den Eigengebrauch gebaute Wasserfahrzeuge, sofern sie während eines Zeitraums von fünf Jahren, gerechnet ab der Inbetriebnahme des Wasserfahrzeugs, nicht nachfolgend auf dem Unionsmarkt in Verkehr gebracht werden,</w:t>
      </w:r>
    </w:p>
    <w:p>
      <w:pPr>
        <w:ind w:left="780"/>
      </w:pPr>
      <w:r>
        <w:t xml:space="preserve">h) Wasserfahrzeuge für den speziellen Zweck, mit einer Mannschaft besetzt zu werden und Fahrgäste gewerblich zu befördern, unabhängig von der Zahl der Fahrgäste und unbeschadet des Absatzes 3,</w:t>
      </w:r>
    </w:p>
    <w:p>
      <w:pPr>
        <w:ind w:left="780"/>
      </w:pPr>
      <w:r>
        <w:t xml:space="preserve">i) Tauchfahrzeuge,</w:t>
      </w:r>
    </w:p>
    <w:p>
      <w:pPr>
        <w:ind w:left="780"/>
      </w:pPr>
      <w:r>
        <w:t xml:space="preserve">j) Luftkissenfahrzeuge,</w:t>
      </w:r>
    </w:p>
    <w:p>
      <w:pPr>
        <w:ind w:left="780"/>
      </w:pPr>
      <w:r>
        <w:t xml:space="preserve">k) Tragflügelboote,</w:t>
      </w:r>
    </w:p>
    <w:p>
      <w:pPr>
        <w:ind w:left="780"/>
      </w:pPr>
      <w:r>
        <w:t xml:space="preserve">l) Wasserfahrzeuge mit auf äußerer Verbrennung beruhendem Dampfantrieb, die mit Kohle, Koks, Öl oder Gas betrieben werden und</w:t>
      </w:r>
    </w:p>
    <w:p>
      <w:pPr>
        <w:ind w:left="780"/>
      </w:pPr>
      <w:r>
        <w:t xml:space="preserve">m) Amphibienfahrzeuge, das heißt auf Rädern oder Gleisketten fahrende Fahrzeuge, die sowohl im Wasser als auch auf Land betrieben werden können,</w:t>
      </w:r>
    </w:p>
    <w:p>
      <w:pPr>
        <w:ind w:left="420"/>
      </w:pPr>
      <w:r>
        <w:t xml:space="preserve">2. hinsichtlich der in Anhang I Teil B der Richtlinie 2013/53/EU aufgeführten Anforderungen für Abgasemissionen:</w:t>
      </w:r>
    </w:p>
    <w:p>
      <w:pPr>
        <w:ind w:left="780"/>
      </w:pPr>
      <w:r>
        <w:t xml:space="preserve">a) bei folgenden Produkten eingebaute oder speziell zum Einbau bestimmte Antriebsmotoren:</w:t>
      </w:r>
    </w:p>
    <w:p>
      <w:pPr>
        <w:ind w:left="1140"/>
      </w:pPr>
      <w:r>
        <w:t xml:space="preserve">aa) ausschließlich für Rennen bestimmte und vom Hersteller entsprechend gekennzeichnete Wasserfahrzeuge,</w:t>
      </w:r>
    </w:p>
    <w:p>
      <w:pPr>
        <w:ind w:left="1140"/>
      </w:pPr>
      <w:r>
        <w:t xml:space="preserve">bb) Versuchszwecken dienende Wasserfahrzeuge, sofern sie nicht auf dem Unionsmarkt in Verkehr gebracht werden,</w:t>
      </w:r>
    </w:p>
    <w:p>
      <w:pPr>
        <w:ind w:left="1140"/>
      </w:pPr>
      <w:r>
        <w:t xml:space="preserve">cc) Wasserfahrzeuge für den speziellen Zweck, mit einer Mannschaft besetzt zu werden und Fahrgäste gewerblich zu befördern, unabhängig von der Zahl der Fahrgäste und unbeschadet des Absatzes 1 Nummer 6,</w:t>
      </w:r>
    </w:p>
    <w:p>
      <w:pPr>
        <w:ind w:left="1140"/>
      </w:pPr>
      <w:r>
        <w:t xml:space="preserve">dd) Tauchfahrzeuge,</w:t>
      </w:r>
    </w:p>
    <w:p>
      <w:pPr>
        <w:ind w:left="1140"/>
      </w:pPr>
      <w:r>
        <w:t xml:space="preserve">ee) Luftkissenfahrzeuge,</w:t>
      </w:r>
    </w:p>
    <w:p>
      <w:pPr>
        <w:ind w:left="1140"/>
      </w:pPr>
      <w:r>
        <w:t xml:space="preserve">ff) Tragflügelboote und</w:t>
      </w:r>
    </w:p>
    <w:p>
      <w:pPr>
        <w:ind w:left="1140"/>
      </w:pPr>
      <w:r>
        <w:t xml:space="preserve">gg) Amphibienfahrzeuge, das heißt auf Rädern oder Gleisketten fahrende Fahrzeuge, die sowohl im Wasser als auch auf Land betrieben werden können,</w:t>
      </w:r>
    </w:p>
    <w:p>
      <w:pPr>
        <w:ind w:left="780"/>
      </w:pPr>
      <w:r>
        <w:t xml:space="preserve">b) Originalmotoren und einzelne Nachbauten von vor 1950 entworfenen historischen Antriebsmotoren, die nicht in Serie hergestellt wurden und in Wasserfahrzeugen gemäß Nummer 1 Buchstabe e oder g eingebaut sind,</w:t>
      </w:r>
    </w:p>
    <w:p>
      <w:pPr>
        <w:ind w:left="780"/>
      </w:pPr>
      <w:r>
        <w:t xml:space="preserve">c) für den Eigengebrauch gebaute Antriebsmotoren, solange sie während eines Zeitraums von fünf Jahren, gerechnet ab der Inbetriebnahme des Wasserfahrzeugs, nicht nachfolgend auf dem Unionsmarkt in Verkehr gebracht werden,</w:t>
      </w:r>
    </w:p>
    <w:p>
      <w:pPr>
        <w:ind w:left="420"/>
      </w:pPr>
      <w:r>
        <w:t xml:space="preserve">3. hinsichtlich der in Anhang I Teil C der Richtlinie 2013/53/EU aufgeführten Anforderungen für Geräuschemissionen:</w:t>
      </w:r>
    </w:p>
    <w:p>
      <w:pPr>
        <w:ind w:left="780"/>
      </w:pPr>
      <w:r>
        <w:t xml:space="preserve">a) für alle in Nummer 2 genannten Wasserfahrzeuge,</w:t>
      </w:r>
    </w:p>
    <w:p>
      <w:pPr>
        <w:ind w:left="780"/>
      </w:pPr>
      <w:r>
        <w:t xml:space="preserve">b) für den Eigengebrauch gebaute Wasserfahrzeuge, solange sie während eines Zeitraums von fünf Jahren, gerechnet ab der Inbetriebnahme des Wasserfahrzeugs, nicht nachfolgend auf dem Unionsmarkt in Verkehr gebracht werden.</w:t>
      </w:r>
    </w:p>
    <w:p>
      <w:r>
        <w:rPr>
          <w:color w:val="555555"/>
          <w:sz w:val="17"/>
        </w:rPr>
        <w:t xml:space="preserve">Zitiervorschlag: § 1 ProdSG2011V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