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ProdSG2011V 1 — Konformitätsvermutung auf der Grundlage nationaler Normen</w:t>
      </w:r>
    </w:p>
    <w:p>
      <w:r>
        <w:rPr>
          <w:color w:val="555555"/>
          <w:sz w:val="18"/>
        </w:rPr>
        <w:t xml:space="preserve">Verordnung über elektrische Betriebsmittel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Sofern keine harmonisierten Normen nach § 4 und keine internationalen Normen nach § 5 veröffentlicht worden sind, wird bei elektrischen Betriebsmitteln, die entsprechend den Sicherheitsbestimmungen der im herstellenden Mitgliedstaat geltenden Normen hergestellt worden sind, vermutet, dass sie die Anforderungen nach § 3 erfüllen, wenn die im herstellenden Mitgliedstaat geltenden Normen dem deutschen Sicherheitsniveau entsprechen.</w:t>
      </w:r>
    </w:p>
    <w:p>
      <w:r>
        <w:rPr>
          <w:color w:val="555555"/>
          <w:sz w:val="17"/>
        </w:rPr>
        <w:t xml:space="preserve">Zitiervorschlag: § 6 ProdSG2011V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