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ProdSG2011V 1 — Begriffsbestimmungen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EU-Konformitätserklärung: eine Erklärung gemäß Artikel 15 der Richtlinie 2014/35/EU in der Fassung vom 9. Oktober 2024,</w:t>
      </w:r>
    </w:p>
    <w:p>
      <w:pPr>
        <w:ind w:left="420"/>
      </w:pPr>
      <w:r>
        <w:t xml:space="preserve">2. harmonisierte Norm: eine harmonisierte Norm im Sinne des Artikels 2 Nummer 1 Buchstabe c der Verordnung (EU) Nr. 1025/2012,</w:t>
      </w:r>
    </w:p>
    <w:p>
      <w:pPr>
        <w:ind w:left="420"/>
      </w:pPr>
      <w:r>
        <w:t xml:space="preserve">3. Hersteller: jede natürliche oder juristische Person, die ein elektrisches Betriebsmittel herstellt oder entwickeln oder herstellen lässt und dieses elektrische Betriebsmittel unter ihrem eigenen Namen oder ihrer eigenen Handelsmarke vermarktet,</w:t>
      </w:r>
    </w:p>
    <w:p>
      <w:pPr>
        <w:ind w:left="420"/>
      </w:pPr>
      <w:r>
        <w:t xml:space="preserve">4. technische Spezifikation: ein Dokument, in dem die technischen Anforderungen vorgeschrieben sind, denen ein elektrisches Betriebsmittel genügen muss,</w:t>
      </w:r>
    </w:p>
    <w:p>
      <w:pPr>
        <w:ind w:left="420"/>
      </w:pPr>
      <w:r>
        <w:t xml:space="preserve">5. krisenrelevante Waren: krisenrelevante Waren im Sinne des Artikels 3 Nummer 6 der Verordnung (EU) 2024/2747,</w:t>
      </w:r>
    </w:p>
    <w:p>
      <w:pPr>
        <w:ind w:left="420"/>
      </w:pPr>
      <w:r>
        <w:t xml:space="preserve">6. Notfallmodus für den Binnenmarkt: der Notfallmodus für den Binnenmarkt im Sinne des Artikels 3 Nummer 3 der Verordnung (EU) 2024/2747.</w:t>
      </w:r>
    </w:p>
    <w:p>
      <w:r>
        <w:t xml:space="preserve">Im Übrigen sind die Begriffsbestimmungen des § 2 des Produktsicherheitsgesetzes vom 27. Juli 2021 (BGBl. I S. 3146) anzuwenden.</w:t>
      </w:r>
    </w:p>
    <w:p>
      <w:r>
        <w:rPr>
          <w:color w:val="555555"/>
          <w:sz w:val="17"/>
        </w:rPr>
        <w:t xml:space="preserve">Zitiervorschlag: § 2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