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ProdSG2011V 1 — Einführer oder Händler als Hersteller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Einführer oder einen Händler sind die §§ 7 und 8 entsprechend anzuwenden, wenn er</w:t>
      </w:r>
    </w:p>
    <w:p>
      <w:pPr>
        <w:ind w:left="420"/>
      </w:pPr>
      <w:r>
        <w:t xml:space="preserve">1. ein elektrisches Betriebsmittel unter eigenem Namen oder eigener Handelsmarke in den Verkehr bringt oder</w:t>
      </w:r>
    </w:p>
    <w:p>
      <w:pPr>
        <w:ind w:left="420"/>
      </w:pPr>
      <w:r>
        <w:t xml:space="preserve">2. ein auf dem Markt befindliches elektrisches Betriebsmittel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13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