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ProdSG2011V 1 — Besondere Kennzeichnungs- und Informationspflichten des Einführers</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(1) Der Einführer hat beim Inverkehrbringen seinen Namen, seinen eingetragenen Handelsnamen oder seine eingetragene Handelsmarke sowie seine Postanschrift auf dem elektrischen Betriebsmittel anzubringen. Falls dies aufgrund der Größe oder der Art des elektrischen Betriebsmittels nicht möglich ist, müssen diese Kontaktdaten auf der Verpackung oder in den dem elektrischen Betriebsmittel beigefügten Unterlagen angegeben werden. Die Kontaktdaten sind in einer Sprache zu verfassen, die von den Endnutzern und den Marktüberwachungsbehörden leicht verstanden werden kann.</w:t>
      </w:r>
    </w:p>
    <w:p>
      <w:r>
        <w:t xml:space="preserve">(2) Der Einführer hat ab dem Inverkehrbringen des elektrischen Betriebsmittels für die Dauer von zehn Jahren eine Kopie der EU-Konformitätserklärung für die Marktüberwachungsbehörde bereitzuhalten und dafür zu sorgen, dass er auf deren Verlangen die technischen Unterlagen vorlegen kann.</w:t>
      </w:r>
    </w:p>
    <w:p>
      <w:r>
        <w:t xml:space="preserve">(3) Der Einführer ist verpflichtet, der Marktüberwachungsbehörde auf deren Verlangen alle Informationen und Unterlagen auf Papier oder elektronisch zur Verfügung zu stellen, die für den Nachweis der Konformität des elektrischen Betriebsmittels mit den Anforderungen dieser Verordnung erforderlich sind. Die Informationen und Unterlagen müssen in deutscher Sprache oder in einer Sprache, die von der Marktüberwachungsbehörde leicht verstanden werden kann, abgefasst sein. Der Einführer arbeitet mit der Marktüberwachungsbehörde auf deren Verlangen bei allen Maßnahmen zur Abwendung von Risiken zusammen, die mit den elektrischen Betriebsmitteln verbunden sind, die er in den Verkehr gebracht hat.</w:t>
      </w:r>
    </w:p>
    <w:p>
      <w:r>
        <w:rPr>
          <w:color w:val="555555"/>
          <w:sz w:val="17"/>
        </w:rPr>
        <w:t xml:space="preserve">Zitiervorschlag: § 11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