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ProdSG2011V 1 — Anwendungsbereich</w:t>
      </w:r>
    </w:p>
    <w:p>
      <w:r>
        <w:rPr>
          <w:color w:val="555555"/>
          <w:sz w:val="18"/>
        </w:rPr>
        <w:t xml:space="preserve">Verordnung über elektrische Betriebsmittel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ist auf neue elektrische Betriebsmittel, die auf dem Markt bereitgestellt werden, anzuwenden, sofern diese elektrischen Betriebsmittel zur Verwendung bei einer Nennspannung zwischen 50 und 1 000 Volt für Wechselstrom und zwischen 75 und 1 500 Volt für Gleichstrom vorgesehen sind.</w:t>
      </w:r>
    </w:p>
    <w:p>
      <w:r>
        <w:t xml:space="preserve">(2) Diese Verordnung ist nicht anzuwenden auf</w:t>
      </w:r>
    </w:p>
    <w:p>
      <w:pPr>
        <w:ind w:left="420"/>
      </w:pPr>
      <w:r>
        <w:t xml:space="preserve">1. elektrische Betriebsmittel zur Verwendung in explosionsfähiger Atmosphäre,</w:t>
      </w:r>
    </w:p>
    <w:p>
      <w:pPr>
        <w:ind w:left="420"/>
      </w:pPr>
      <w:r>
        <w:t xml:space="preserve">2. elektro-radiologische und elektro-medizinische Betriebsmittel,</w:t>
      </w:r>
    </w:p>
    <w:p>
      <w:pPr>
        <w:ind w:left="420"/>
      </w:pPr>
      <w:r>
        <w:t xml:space="preserve">3. elektrische Teile von Personen- und Lastenaufzügen,</w:t>
      </w:r>
    </w:p>
    <w:p>
      <w:pPr>
        <w:ind w:left="420"/>
      </w:pPr>
      <w:r>
        <w:t xml:space="preserve">4. Elektrizitätszähler,</w:t>
      </w:r>
    </w:p>
    <w:p>
      <w:pPr>
        <w:ind w:left="420"/>
      </w:pPr>
      <w:r>
        <w:t xml:space="preserve">5. Haushaltssteckvorrichtungen,</w:t>
      </w:r>
    </w:p>
    <w:p>
      <w:pPr>
        <w:ind w:left="420"/>
      </w:pPr>
      <w:r>
        <w:t xml:space="preserve">6. Vorrichtungen zur Stromversorgung von elektrischen Weidezäunen,</w:t>
      </w:r>
    </w:p>
    <w:p>
      <w:pPr>
        <w:ind w:left="420"/>
      </w:pPr>
      <w:r>
        <w:t xml:space="preserve">7. elektrische Betriebsmittel unter dem Aspekt der Funkentstörung,</w:t>
      </w:r>
    </w:p>
    <w:p>
      <w:pPr>
        <w:ind w:left="420"/>
      </w:pPr>
      <w:r>
        <w:t xml:space="preserve">8. spezielle elektrische Betriebsmittel, die zur Verwendung auf Schiffen, in Flugzeugen oder in Eisenbahnen bestimmt sind und den Sicherheitsbestimmungen internationaler Einrichtungen entsprechen, denen die Mitgliedstaaten angehören,</w:t>
      </w:r>
    </w:p>
    <w:p>
      <w:pPr>
        <w:ind w:left="420"/>
      </w:pPr>
      <w:r>
        <w:t xml:space="preserve">9. kunden- und anwendungsspezifisch angefertigte Erprobungsmodule, die von Fachleuten ausschließlich in Forschungs- und Entwicklungseinrichtungen für Forschungs- und Entwicklungszwecke verwendet werden.</w:t>
      </w:r>
    </w:p>
    <w:p>
      <w:r>
        <w:rPr>
          <w:color w:val="555555"/>
          <w:sz w:val="17"/>
        </w:rPr>
        <w:t xml:space="preserve">Zitiervorschlag: § 1 ProdSG2011V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