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ProdSG 2021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Abschnitt 1Allgemeine Vorschriften</w:t>
      </w:r>
    </w:p>
    <w:p>
      <w:r>
        <w:rPr>
          <w:rFonts w:ascii="Courier New" w:hAnsi="Courier New"/>
          <w:sz w:val="17"/>
        </w:rPr>
        <w:t xml:space="preserve">§ 1    Zweck und Anwendungsbereich</w:t>
      </w:r>
    </w:p>
    <w:p>
      <w:r>
        <w:rPr>
          <w:rFonts w:ascii="Courier New" w:hAnsi="Courier New"/>
          <w:sz w:val="17"/>
        </w:rPr>
        <w:t xml:space="preserve">§ 2    Begriffsbestimmungen</w:t>
      </w:r>
    </w:p>
    <w:p>
      <w:r>
        <w:t xml:space="preserve">Abschnitt 2Voraussetzungen für die Bereitstellung von Produkten auf dem Markt sowie für das Ausstellen von Produkten</w:t>
      </w:r>
    </w:p>
    <w:p>
      <w:r>
        <w:rPr>
          <w:rFonts w:ascii="Courier New" w:hAnsi="Courier New"/>
          <w:sz w:val="17"/>
        </w:rPr>
        <w:t xml:space="preserve">§ 3    Allgemeine Anforderungen an die Bereitstellung von Produkten auf dem Markt</w:t>
      </w:r>
    </w:p>
    <w:p>
      <w:r>
        <w:rPr>
          <w:rFonts w:ascii="Courier New" w:hAnsi="Courier New"/>
          <w:sz w:val="17"/>
        </w:rPr>
        <w:t xml:space="preserve">§ 4    Harmonisierte Normen</w:t>
      </w:r>
    </w:p>
    <w:p>
      <w:r>
        <w:rPr>
          <w:rFonts w:ascii="Courier New" w:hAnsi="Courier New"/>
          <w:sz w:val="17"/>
        </w:rPr>
        <w:t xml:space="preserve">§ 5    Normen und andere technische Spezifikationen</w:t>
      </w:r>
    </w:p>
    <w:p>
      <w:r>
        <w:rPr>
          <w:rFonts w:ascii="Courier New" w:hAnsi="Courier New"/>
          <w:sz w:val="17"/>
        </w:rPr>
        <w:t xml:space="preserve">§ 6    Sprache der Informationen, Sicherheitsinformationen, Anweisungen und Warnhinweise</w:t>
      </w:r>
    </w:p>
    <w:p>
      <w:r>
        <w:rPr>
          <w:rFonts w:ascii="Courier New" w:hAnsi="Courier New"/>
          <w:sz w:val="17"/>
        </w:rPr>
        <w:t xml:space="preserve">§ 7    CE-Kennzeichnung</w:t>
      </w:r>
    </w:p>
    <w:p>
      <w:r>
        <w:rPr>
          <w:rFonts w:ascii="Courier New" w:hAnsi="Courier New"/>
          <w:sz w:val="17"/>
        </w:rPr>
        <w:t xml:space="preserve">§ 8    Ermächtigung zum Erlass von Rechtsverordnungen</w:t>
      </w:r>
    </w:p>
    <w:p>
      <w:r>
        <w:t xml:space="preserve">Abschnitt 3Bestimmungen über die Befugnis erteilende Behörde</w:t>
      </w:r>
    </w:p>
    <w:p>
      <w:r>
        <w:rPr>
          <w:rFonts w:ascii="Courier New" w:hAnsi="Courier New"/>
          <w:sz w:val="17"/>
        </w:rPr>
        <w:t xml:space="preserve">§ 9    Aufgaben der Befugnis erteilenden Behörde</w:t>
      </w:r>
    </w:p>
    <w:p>
      <w:r>
        <w:rPr>
          <w:rFonts w:ascii="Courier New" w:hAnsi="Courier New"/>
          <w:sz w:val="17"/>
        </w:rPr>
        <w:t xml:space="preserve">§ 10    Anforderungen an die Befugnis erteilende Behörde</w:t>
      </w:r>
    </w:p>
    <w:p>
      <w:r>
        <w:rPr>
          <w:rFonts w:ascii="Courier New" w:hAnsi="Courier New"/>
          <w:sz w:val="17"/>
        </w:rPr>
        <w:t xml:space="preserve">§ 11    Befugnisse der Befugnis erteilenden Behörde</w:t>
      </w:r>
    </w:p>
    <w:p>
      <w:r>
        <w:t xml:space="preserve">Abschnitt 4Notifizierung von Konformitätsbewertungsstellen</w:t>
      </w:r>
    </w:p>
    <w:p>
      <w:r>
        <w:rPr>
          <w:rFonts w:ascii="Courier New" w:hAnsi="Courier New"/>
          <w:sz w:val="17"/>
        </w:rPr>
        <w:t xml:space="preserve">§ 12    Anträge auf Notifizierung</w:t>
      </w:r>
    </w:p>
    <w:p>
      <w:r>
        <w:rPr>
          <w:rFonts w:ascii="Courier New" w:hAnsi="Courier New"/>
          <w:sz w:val="17"/>
        </w:rPr>
        <w:t xml:space="preserve">§ 13    Anforderungen an die Konformitätsbewertungsstelle für ihre Notifizierung</w:t>
      </w:r>
    </w:p>
    <w:p>
      <w:r>
        <w:rPr>
          <w:rFonts w:ascii="Courier New" w:hAnsi="Courier New"/>
          <w:sz w:val="17"/>
        </w:rPr>
        <w:t xml:space="preserve">§ 14    Konformitätsvermutung</w:t>
      </w:r>
    </w:p>
    <w:p>
      <w:r>
        <w:rPr>
          <w:rFonts w:ascii="Courier New" w:hAnsi="Courier New"/>
          <w:sz w:val="17"/>
        </w:rPr>
        <w:t xml:space="preserve">§ 15    Erteilung der Befugnis, Notifizierungsverfahren</w:t>
      </w:r>
    </w:p>
    <w:p>
      <w:r>
        <w:rPr>
          <w:rFonts w:ascii="Courier New" w:hAnsi="Courier New"/>
          <w:sz w:val="17"/>
        </w:rPr>
        <w:t xml:space="preserve">§ 16    Verpflichtungen der notifizierten Stelle</w:t>
      </w:r>
    </w:p>
    <w:p>
      <w:r>
        <w:rPr>
          <w:rFonts w:ascii="Courier New" w:hAnsi="Courier New"/>
          <w:sz w:val="17"/>
        </w:rPr>
        <w:t xml:space="preserve">§ 17    Meldepflichten der notifizierten Stelle</w:t>
      </w:r>
    </w:p>
    <w:p>
      <w:r>
        <w:rPr>
          <w:rFonts w:ascii="Courier New" w:hAnsi="Courier New"/>
          <w:sz w:val="17"/>
        </w:rPr>
        <w:t xml:space="preserve">§ 18    Zweigunternehmen einer notifizierten Stelle und Vergabe von Unteraufträgen</w:t>
      </w:r>
    </w:p>
    <w:p>
      <w:r>
        <w:rPr>
          <w:rFonts w:ascii="Courier New" w:hAnsi="Courier New"/>
          <w:sz w:val="17"/>
        </w:rPr>
        <w:t xml:space="preserve">§ 19    Widerruf der erteilten Befugnis</w:t>
      </w:r>
    </w:p>
    <w:p>
      <w:r>
        <w:t xml:space="preserve">Abschnitt 5GS-Zeichen</w:t>
      </w:r>
    </w:p>
    <w:p>
      <w:r>
        <w:rPr>
          <w:rFonts w:ascii="Courier New" w:hAnsi="Courier New"/>
          <w:sz w:val="17"/>
        </w:rPr>
        <w:t xml:space="preserve">§ 20    Zuerkennung des GS-Zeichens</w:t>
      </w:r>
    </w:p>
    <w:p>
      <w:r>
        <w:rPr>
          <w:rFonts w:ascii="Courier New" w:hAnsi="Courier New"/>
          <w:sz w:val="17"/>
        </w:rPr>
        <w:t xml:space="preserve">§ 21    Befugnis für die Tätigkeit als GS-Stelle</w:t>
      </w:r>
    </w:p>
    <w:p>
      <w:r>
        <w:rPr>
          <w:rFonts w:ascii="Courier New" w:hAnsi="Courier New"/>
          <w:sz w:val="17"/>
        </w:rPr>
        <w:t xml:space="preserve">§ 22    Pflichten der GS-Stellen</w:t>
      </w:r>
    </w:p>
    <w:p>
      <w:r>
        <w:rPr>
          <w:rFonts w:ascii="Courier New" w:hAnsi="Courier New"/>
          <w:sz w:val="17"/>
        </w:rPr>
        <w:t xml:space="preserve">§ 23    Einbeziehung von externen Stellen</w:t>
      </w:r>
    </w:p>
    <w:p>
      <w:r>
        <w:rPr>
          <w:rFonts w:ascii="Courier New" w:hAnsi="Courier New"/>
          <w:sz w:val="17"/>
        </w:rPr>
        <w:t xml:space="preserve">§ 24    Pflichten des Herstellers und des Einführers</w:t>
      </w:r>
    </w:p>
    <w:p>
      <w:r>
        <w:t xml:space="preserve">Abschnitt 6Marktüberwachung, Bundesanstalt für Arbeitsschutz und Arbeitsmedizin und Ausschuss für Produktsicherheit</w:t>
      </w:r>
    </w:p>
    <w:p>
      <w:r>
        <w:rPr>
          <w:rFonts w:ascii="Courier New" w:hAnsi="Courier New"/>
          <w:sz w:val="17"/>
        </w:rPr>
        <w:t xml:space="preserve">§ 25    Marktüberwachung</w:t>
      </w:r>
    </w:p>
    <w:p>
      <w:r>
        <w:rPr>
          <w:rFonts w:ascii="Courier New" w:hAnsi="Courier New"/>
          <w:sz w:val="17"/>
        </w:rPr>
        <w:t xml:space="preserve">§ 26    Aufgaben der Bundesanstalt für Arbeitsschutz und Arbeitsmedizin</w:t>
      </w:r>
    </w:p>
    <w:p>
      <w:r>
        <w:rPr>
          <w:rFonts w:ascii="Courier New" w:hAnsi="Courier New"/>
          <w:sz w:val="17"/>
        </w:rPr>
        <w:t xml:space="preserve">§ 27    Ausschuss für Produktsicherheit</w:t>
      </w:r>
    </w:p>
    <w:p>
      <w:r>
        <w:t xml:space="preserve">Abschnitt 7Straf- und Bußgeldvorschriften</w:t>
      </w:r>
    </w:p>
    <w:p>
      <w:r>
        <w:rPr>
          <w:rFonts w:ascii="Courier New" w:hAnsi="Courier New"/>
          <w:sz w:val="17"/>
        </w:rPr>
        <w:t xml:space="preserve">§ 28    Bußgeldvorschriften</w:t>
      </w:r>
    </w:p>
    <w:p>
      <w:r>
        <w:rPr>
          <w:rFonts w:ascii="Courier New" w:hAnsi="Courier New"/>
          <w:sz w:val="17"/>
        </w:rPr>
        <w:t xml:space="preserve">§ 29    Strafvorschriften</w:t>
      </w:r>
    </w:p>
    <w:p>
      <w:r>
        <w:t xml:space="preserve">Abschnitt 8Schlussbestimmungen</w:t>
      </w:r>
    </w:p>
    <w:p>
      <w:r>
        <w:rPr>
          <w:rFonts w:ascii="Courier New" w:hAnsi="Courier New"/>
          <w:sz w:val="17"/>
        </w:rPr>
        <w:t xml:space="preserve">§ 30    Geändertes Unionsrecht; Verordnungsermächtigung</w:t>
      </w:r>
    </w:p>
    <w:p>
      <w:r>
        <w:rPr>
          <w:rFonts w:ascii="Courier New" w:hAnsi="Courier New"/>
          <w:sz w:val="17"/>
        </w:rPr>
        <w:t xml:space="preserve">Anlage    Gestaltung des GS-Zeichens</w:t>
      </w:r>
    </w:p>
    <w:p>
      <w:r>
        <w:rPr>
          <w:color w:val="555555"/>
          <w:sz w:val="17"/>
        </w:rPr>
        <w:t xml:space="preserve">Zitiervorschlag: Inhaltsübersicht ProdSG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https://recht.nulegal.eu/gesetze/ProdSG%202021/inhaltsuebersicht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ProdSG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