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ProdSG 2021 — Pflichten des Herstellers und des Einführers</w:t>
      </w:r>
    </w:p>
    <w:p>
      <w:r>
        <w:rPr>
          <w:color w:val="555555"/>
          <w:sz w:val="18"/>
        </w:rPr>
        <w:t xml:space="preserve">Produktsicherheitsgesetz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Der Hersteller hat dafür Sorge zu tragen, dass die von ihm hergestellten verwendungsfertigen Produkte mit dem geprüften Baumuster übereinstimmen.</w:t>
      </w:r>
    </w:p>
    <w:p>
      <w:r>
        <w:t xml:space="preserve">(2) Der Hersteller darf das GS-Zeichen nur verwenden und mit ihm werben, wenn ihm von der GS-Stelle eine Bescheinigung nach § 20 Absatz 5 ausgestellt wurde und solange die Anforderungen nach § 20 Absatz 3 erfüllt sind. Er darf das GS-Zeichen nicht verwenden oder mit ihm werben, wenn</w:t>
      </w:r>
    </w:p>
    <w:p>
      <w:pPr>
        <w:ind w:left="420"/>
      </w:pPr>
      <w:r>
        <w:t xml:space="preserve">1. die GS-Stelle ihm das GS-Zeichen nicht zuerkannt hat,</w:t>
      </w:r>
    </w:p>
    <w:p>
      <w:pPr>
        <w:ind w:left="420"/>
      </w:pPr>
      <w:r>
        <w:t xml:space="preserve">2. die Frist nach § 20 Absatz 5 Satz 2 abgelaufen ist,</w:t>
      </w:r>
    </w:p>
    <w:p>
      <w:pPr>
        <w:ind w:left="420"/>
      </w:pPr>
      <w:r>
        <w:t xml:space="preserve">3. die GS-Stelle die Zuerkennung nach § 22 Absatz 5 entzogen hat oder</w:t>
      </w:r>
    </w:p>
    <w:p>
      <w:pPr>
        <w:ind w:left="420"/>
      </w:pPr>
      <w:r>
        <w:t xml:space="preserve">4. die GS-Stelle die Zuerkennung nach § 22 Absatz 7 ausgesetzt hat.</w:t>
      </w:r>
    </w:p>
    <w:p>
      <w:r>
        <w:t xml:space="preserve">(3) Der Hersteller hat bei der Gestaltung des GS-Zeichens die Vorgaben der Anlage und die vom Ausschuss für Produktsicherheit ermittelten Spezifikationen zu beachten.</w:t>
      </w:r>
    </w:p>
    <w:p>
      <w:r>
        <w:t xml:space="preserve">(4) Der Hersteller darf kein Zeichen verwenden und mit keinem Zeichen werben, das mit dem GS-Zeichen verwechselt werden kann.</w:t>
      </w:r>
    </w:p>
    <w:p>
      <w:r>
        <w:t xml:space="preserve">(5) Der Einführer darf ein Produkt, das das GS-Zeichen trägt, nur in den Verkehr bringen, wenn er zuvor geprüft hat, dass für das Produkt eine Bescheinigung nach § 20 Absatz 5 vorliegt. Er hat die Prüfung nach Satz 1 zu dokumentieren, bevor er das Produkt in den Verkehr bringt. Die Dokumentation muss mindestens die folgenden Angaben enthalten:</w:t>
      </w:r>
    </w:p>
    <w:p>
      <w:pPr>
        <w:ind w:left="420"/>
      </w:pPr>
      <w:r>
        <w:t xml:space="preserve">1. das Datum der Prüfung nach Satz 1,</w:t>
      </w:r>
    </w:p>
    <w:p>
      <w:pPr>
        <w:ind w:left="420"/>
      </w:pPr>
      <w:r>
        <w:t xml:space="preserve">2. den Namen der GS-Stelle, die die Bescheinigung nach § 20 Absatz 5 ausgestellt hat, sowie</w:t>
      </w:r>
    </w:p>
    <w:p>
      <w:pPr>
        <w:ind w:left="420"/>
      </w:pPr>
      <w:r>
        <w:t xml:space="preserve">3. die Nummer der Bescheinigung über die Zuerkennung des GS-Zeichens.</w:t>
      </w:r>
    </w:p>
    <w:p>
      <w:r>
        <w:rPr>
          <w:color w:val="555555"/>
          <w:sz w:val="17"/>
        </w:rPr>
        <w:t xml:space="preserve">Zitiervorschlag: § 24 ProdSG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https://recht.nulegal.eu/gesetze/ProdSG%202021/24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