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ProdSG 2021 — Anforderungen an die Befugnis erteilende Behörde</w:t>
      </w:r>
    </w:p>
    <w:p>
      <w:r>
        <w:rPr>
          <w:color w:val="555555"/>
          <w:sz w:val="18"/>
        </w:rPr>
        <w:t xml:space="preserve">Produktsicherheitsgesetz</w:t>
      </w:r>
    </w:p>
    <w:p>
      <w:r>
        <w:rPr>
          <w:color w:val="555555"/>
          <w:sz w:val="18"/>
        </w:rPr>
        <w:t xml:space="preserve">Stand: 31.07.2021 (konsolidierte Textfassung, kein amtliches Inkrafttretensdatum)</w:t>
      </w:r>
    </w:p>
    <w:p>
      <w:r>
        <w:t xml:space="preserve">(1) Die Länder haben die Befugnis erteilende Behörde so einzurichten, dass es zu keinerlei Interessenkonflikt mit den Konformitätsbewertungsstellen kommt; insbesondere darf die Befugnis erteilende Behörde weder Tätigkeiten, die Konformitätsbewertungsstellen durchführen, noch Beratungsleistungen auf einer gewerblichen oder wettbewerblichen Basis anbieten oder erbringen.</w:t>
      </w:r>
    </w:p>
    <w:p>
      <w:r>
        <w:t xml:space="preserve">(2) Bedienstete der Befugnis erteilenden Behörde, die die Begutachtung einer Konformitätsbewertungsstelle durchgeführt haben, dürfen nicht mit der Entscheidung über die Erteilung der Befugnis, als Konformitätsbewertungsstelle tätig werden zu dürfen, betraut werden.</w:t>
      </w:r>
    </w:p>
    <w:p>
      <w:r>
        <w:t xml:space="preserve">(3) Der Befugnis erteilenden Behörde muss kompetentes Personal in ausreichender Zahl zur Verfügung stehen, so dass sie ihre Aufgaben ordnungsgemäß wahrnehmen kann.</w:t>
      </w:r>
    </w:p>
    <w:p>
      <w:r>
        <w:rPr>
          <w:color w:val="555555"/>
          <w:sz w:val="17"/>
        </w:rPr>
        <w:t xml:space="preserve">Zitiervorschlag: § 10 ProdSG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https://recht.nulegal.eu/gesetze/ProdSG%202021/10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