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ProdSG 2021 — Zweck und Anwendungsbereich</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Dieses Gesetz dient der Umsetzung der im Folgenden genannten Richtlinien und ist anzuwenden, wenn im Rahmen einer Geschäftstätigkeit Produkte aus dem Anwendungsbereich dieser Richtlinien auf dem Markt bereitgestellt, ausgestellt oder erstmals verwendet werden:</w:t>
      </w:r>
    </w:p>
    <w:p>
      <w:pPr>
        <w:ind w:left="420"/>
      </w:pPr>
      <w:r>
        <w:t xml:space="preserve">1. Richtlinie 75/324/EWG betreffend Aerosolpackungen,</w:t>
      </w:r>
    </w:p>
    <w:p>
      <w:pPr>
        <w:ind w:left="420"/>
      </w:pPr>
      <w:r>
        <w:t xml:space="preserve">2. Richtlinie 2000/14/EG betreffend die Geräuschemissionen von zur Verwendung im Freien vorgesehenen Geräten und Maschinen,</w:t>
      </w:r>
    </w:p>
    <w:p>
      <w:pPr>
        <w:ind w:left="420"/>
      </w:pPr>
      <w:r>
        <w:t xml:space="preserve">3. Richtlinie 2006/42/EG betreffend Maschinen,</w:t>
      </w:r>
    </w:p>
    <w:p>
      <w:pPr>
        <w:ind w:left="420"/>
      </w:pPr>
      <w:r>
        <w:t xml:space="preserve">4. Richtlinie 2009/48/EG betreffend die Sicherheit von Spielzeug,</w:t>
      </w:r>
    </w:p>
    <w:p>
      <w:pPr>
        <w:ind w:left="420"/>
      </w:pPr>
      <w:r>
        <w:t xml:space="preserve">5. Richtlinie 2013/53/EU betreffend Sportboote und Wassermotorräder,</w:t>
      </w:r>
    </w:p>
    <w:p>
      <w:pPr>
        <w:ind w:left="420"/>
      </w:pPr>
      <w:r>
        <w:t xml:space="preserve">6. Richtlinie 2014/29/EU betreffend einfache Druckbehälter,</w:t>
      </w:r>
    </w:p>
    <w:p>
      <w:pPr>
        <w:ind w:left="420"/>
      </w:pPr>
      <w:r>
        <w:t xml:space="preserve">7. Richtlinie 2014/33/EU betreffend Aufzüge,</w:t>
      </w:r>
    </w:p>
    <w:p>
      <w:pPr>
        <w:ind w:left="420"/>
      </w:pPr>
      <w:r>
        <w:t xml:space="preserve">8. Richtlinie 2014/34/EU betreffend Geräte und Schutzsysteme zur bestimmungsgemäßen Verwendung in explosionsgefährdeten Bereichen,</w:t>
      </w:r>
    </w:p>
    <w:p>
      <w:pPr>
        <w:ind w:left="420"/>
      </w:pPr>
      <w:r>
        <w:t xml:space="preserve">9. Richtlinie 2014/35/EU betreffend die Bereitstellung elektrischer Betriebsmittel zur Verwendung innerhalb bestimmter Spannungsgrenzen auf dem Markt,</w:t>
      </w:r>
    </w:p>
    <w:p>
      <w:pPr>
        <w:ind w:left="420"/>
      </w:pPr>
      <w:r>
        <w:t xml:space="preserve">10. Richtlinie 2014/68/EU betreffend Druckgeräte.</w:t>
      </w:r>
    </w:p>
    <w:p>
      <w:r>
        <w:t xml:space="preserve">(2) Die §§ 6, 8, 25 Absatz 3 und 10, § 28 Absatz 2 und 3 sowie § 29 dienen der Durchführung der Verordnung (EU) 2023/988 in Bezug auf Produkte im Sinne von Artikel 3 Nummer 1 der Verordnung (EU) 2023/988. Dieses Gesetz gilt auch für das Ausstellen von solchen Produkten.</w:t>
      </w:r>
    </w:p>
    <w:p>
      <w:r>
        <w:t xml:space="preserve">(3) Dieses Gesetz ist mit Ausnahme der §§ 6, 25 Absatz 3 und 10 sowie des § 28 Absatz 2 außerdem anzuwenden, wenn im Rahmen einer Geschäftstätigkeit verwendungsfertige Produkte auf dem Markt bereitgestellt oder ausgestellt werden, die nicht der Verordnung (EU) 2023/988 unterliegen und die auch nicht durch andere Rechtsvorschriften der Europäischen Union, die Vorgaben für die Sicherheit von Produkten regeln, harmonisiert sind.</w:t>
      </w:r>
    </w:p>
    <w:p>
      <w:r>
        <w:t xml:space="preserve">(4) Dieses Gesetz ist, soweit es nicht der Durchführung der Verordnung (EU) 2023/988 dient, nicht anzuwenden auf</w:t>
      </w:r>
    </w:p>
    <w:p>
      <w:pPr>
        <w:ind w:left="420"/>
      </w:pPr>
      <w:r>
        <w:t xml:space="preserve">1. Antiquitäten,</w:t>
      </w:r>
    </w:p>
    <w:p>
      <w:pPr>
        <w:ind w:left="420"/>
      </w:pPr>
      <w:r>
        <w:t xml:space="preserve">2. gebrauchte Produkte, die vor ihrer Verwendung instandgesetzt oder wiederaufgearbeitet werden müssen, sofern der Wirtschaftsakteur denjenigen, an den sie abgegeben werden, darüber ausreichend unterrichtet,</w:t>
      </w:r>
    </w:p>
    <w:p>
      <w:pPr>
        <w:ind w:left="420"/>
      </w:pPr>
      <w:r>
        <w:t xml:space="preserve">3. Produkte, die ihrer Bauart nach ausschließlich zur Verwendung für militärische Zwecke bestimmt sind, und</w:t>
      </w:r>
    </w:p>
    <w:p>
      <w:pPr>
        <w:ind w:left="420"/>
      </w:pPr>
      <w:r>
        <w:t xml:space="preserve">4. Umschließungen, wie ortsbewegliche Druckgeräte, Verpackungen und Tanks, für die Beförderung gefährlicher Güter, sofern diese verkehrsrechtlichen Vorschriften unterliegen.</w:t>
      </w:r>
    </w:p>
    <w:p>
      <w:r>
        <w:t xml:space="preserve">(5) Dieses Gesetz ist im Rahmen der Vorgaben des Seerechtsübereinkommens der Vereinten Nationen vom 10. Dezember 1982 (BGBl. 1994 II S. 1798, 1799) auch in der deutschen ausschließlichen Wirtschaftszone anzuwenden.</w:t>
      </w:r>
    </w:p>
    <w:p>
      <w:r>
        <w:t xml:space="preserve">(6) Dieses Gesetz ist im Übrigen anzuwenden, wenn im Rahmen einer Geschäftstätigkeit Produkte auf dem Markt bereitgestellt, ausgestellt oder erstmals verwendet werden, soweit nicht in anderen Rechtsvorschriften, die Vorgaben für die Sicherheit von Produkten regeln, entsprechende oder weitergehende Vorschriften vorgesehen werden.</w:t>
      </w:r>
    </w:p>
    <w:p>
      <w:r>
        <w:rPr>
          <w:color w:val="555555"/>
          <w:sz w:val="17"/>
        </w:rPr>
        <w:t xml:space="preserve">Zitiervorschlag: § 1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