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ProdSG 2011 — CE-Kennzeichnung</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Für die CE-Kennzeichnung gelten die allgemeinen Grundsätze nach Artikel 30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w:t>
      </w:r>
    </w:p>
    <w:p>
      <w:r>
        <w:t xml:space="preserve">(2) Es ist verboten, ein Produkt auf dem Markt bereitzustellen,</w:t>
      </w:r>
    </w:p>
    <w:p>
      <w:pPr>
        <w:ind w:left="420"/>
      </w:pPr>
      <w:r>
        <w:t xml:space="preserve">1. wenn das Produkt, seine Verpackung oder ihm beigefügte Unterlagen mit der CE-Kennzeichnung versehen sind, ohne dass die Rechtsverordnungen nach § 8 Absatz 1 oder andere Rechtsvorschriften dies vorsehen oder ohne dass die Anforderungen der Absätze 3 bis 5 erfüllt sind, oder</w:t>
      </w:r>
    </w:p>
    <w:p>
      <w:pPr>
        <w:ind w:left="420"/>
      </w:pPr>
      <w:r>
        <w:t xml:space="preserve">2. das nicht mit der CE-Kennzeichnung versehen ist, obwohl eine Rechtsverordnung nach § 8 Absatz 1 oder eine andere Rechtsvorschrift ihre Anbringung vorschreibt.</w:t>
      </w:r>
    </w:p>
    <w:p>
      <w:r>
        <w:t xml:space="preserve">(3) Sofern eine Rechtsverordnung nach § 8 Absatz 1 oder eine andere Rechtsvorschrift nichts anderes vorsieht, muss die CE-Kennzeichnung sichtbar, lesbar und dauerhaft auf dem Produkt oder seinem Typenschild angebracht sein. Falls die Art des Produkts dies nicht zulässt oder nicht rechtfertigt, wird die CE-Kennzeichnung auf der Verpackung angebracht sowie auf den Begleitunterlagen, sofern entsprechende Unterlagen vorgeschrieben sind.</w:t>
      </w:r>
    </w:p>
    <w:p>
      <w:r>
        <w:t xml:space="preserve">(4) Nach der CE-Kennzeichnung steht die Kennnummer der notifizierten Stelle nach § 2 Nummer 20, soweit diese Stelle in der Phase der Fertigungskontrolle tätig war. Die Kennnummer ist entweder von der notifizierten Stelle selbst anzubringen oder vom Hersteller oder seinem Bevollmächtigten nach den Anweisungen der Stelle.</w:t>
      </w:r>
    </w:p>
    <w:p>
      <w:r>
        <w:t xml:space="preserve">(5) Die CE-Kennzeichnung muss angebracht werden, bevor das Produkt in den Verkehr gebracht wird. Nach der CE-Kennzeichnung und gegebenenfalls nach der Kennnummer kann ein Piktogramm oder ein anderes Zeichen stehen, das auf ein besonderes Risiko oder eine besondere Verwendung hinweist.</w:t>
      </w:r>
    </w:p>
    <w:p>
      <w:r>
        <w:rPr>
          <w:color w:val="555555"/>
          <w:sz w:val="17"/>
        </w:rPr>
        <w:t xml:space="preserve">Zitiervorschlag: § 7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