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40 ProdSG 2011 — Strafvorschriften</w:t>
      </w:r>
    </w:p>
    <w:p>
      <w:r>
        <w:rPr>
          <w:color w:val="555555"/>
          <w:sz w:val="18"/>
        </w:rPr>
        <w:t xml:space="preserve">Produktsicherheitsgesetz</w:t>
      </w:r>
    </w:p>
    <w:p>
      <w:r>
        <w:rPr>
          <w:color w:val="555555"/>
          <w:sz w:val="18"/>
        </w:rPr>
        <w:t xml:space="preserve">Historische Fassung: Stand 10.06.2019 bis 31.07.2021. Dies ist nicht die aktuelle Fassung.</w:t>
      </w:r>
    </w:p>
    <w:p>
      <w:r>
        <w:t xml:space="preserve">Mit Freiheitsstrafe bis zu einem Jahr oder mit Geldstrafe wird bestraft, wer eine in § 39 Absatz 1 Nummer 7 Buchstabe a, Nummer 8 Buchstabe b, Nummer 9, 16 Buchstabe a oder Nummer 17 Buchstabe a bezeichnete vorsätzliche Handlung beharrlich wiederholt oder durch eine solche vorsätzliche Handlung Leben oder Gesundheit eines anderen oder fremde Sachen von bedeutendem Wert gefährdet.</w:t>
      </w:r>
    </w:p>
    <w:p>
      <w:r>
        <w:rPr>
          <w:color w:val="555555"/>
          <w:sz w:val="17"/>
        </w:rPr>
        <w:t xml:space="preserve">Zitiervorschlag: § 40 ProdSG 2011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https://recht.nulegal.eu/gesetze/ProdSG%202011/40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