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ProdSG 2011 — Bußgeldvorschriften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Ordnungswidrig handelt, wer vorsätzlich oder fahrlässig</w:t>
      </w:r>
    </w:p>
    <w:p>
      <w:pPr>
        <w:ind w:left="420"/>
      </w:pPr>
      <w:r>
        <w:t xml:space="preserve">1. entgegen § 3 Absatz 3 einen Hinweis nicht, nicht richtig, nicht vollständig oder nicht rechtzeitig gibt,</w:t>
      </w:r>
    </w:p>
    <w:p>
      <w:pPr>
        <w:ind w:left="420"/>
      </w:pPr>
      <w:r>
        <w:t xml:space="preserve">2. entgegen § 3 Absatz 4 eine Gebrauchsanleitung nicht, nicht richtig, nicht vollständig, nicht in der vorgeschriebenen Weise oder nicht rechtzeitig mitliefert,</w:t>
      </w:r>
    </w:p>
    <w:p>
      <w:pPr>
        <w:ind w:left="420"/>
      </w:pPr>
      <w:r>
        <w:t xml:space="preserve">3. entgegen § 6 Absatz 1 Satz 1 Nummer 2 einen Namen oder eine Kontaktanschrift nicht, nicht richtig, nicht vollständig oder nicht rechtzeitig anbringt,</w:t>
      </w:r>
    </w:p>
    <w:p>
      <w:pPr>
        <w:ind w:left="420"/>
      </w:pPr>
      <w:r>
        <w:t xml:space="preserve">4. entgegen § 6 Absatz 4 Satz 1 die zuständige Marktüberwachungsbehörde nicht, nicht richtig, nicht vollständig oder nicht rechtzeitig unterrichtet,</w:t>
      </w:r>
    </w:p>
    <w:p>
      <w:pPr>
        <w:ind w:left="420"/>
      </w:pPr>
      <w:r>
        <w:t xml:space="preserve">5. entgegen § 7 Absatz 1 in Verbindung mit Artikel 30 Absatz 5 Satz 1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eine Kennzeichnung, ein Zeichen oder eine Aufschrift auf einem Produkt anbringt,</w:t>
      </w:r>
    </w:p>
    <w:p>
      <w:pPr>
        <w:ind w:left="420"/>
      </w:pPr>
      <w:r>
        <w:t xml:space="preserve">6. entgegen § 7 Absatz 2 ein Produkt auf dem Markt bereitstellt,</w:t>
      </w:r>
    </w:p>
    <w:p>
      <w:pPr>
        <w:ind w:left="420"/>
      </w:pPr>
      <w:r>
        <w:t xml:space="preserve">7. einer Rechtsverordnung nach</w:t>
      </w:r>
    </w:p>
    <w:p>
      <w:pPr>
        <w:ind w:left="780"/>
      </w:pPr>
      <w:r>
        <w:t xml:space="preserve">a) § 8 Absatz 1 Satz 2 Nummer 1 oder Nummer 3 oder § 34 Absatz 1 Nummer 2, 4 oder Nummer 5 oder</w:t>
      </w:r>
    </w:p>
    <w:p>
      <w:pPr>
        <w:ind w:left="780"/>
      </w:pPr>
      <w:r>
        <w:t xml:space="preserve">b) § 8 Absatz 1 Satz 2 Nummer 2 oder § 34 Absatz 1 Nummer 1</w:t>
      </w:r>
    </w:p>
    <w:p>
      <w:pPr>
        <w:ind w:left="420"/>
      </w:pPr>
      <w:r>
        <w:t xml:space="preserve">oder einer vollziehbaren Anordnung auf Grund einer solchen Rechtsverordnung zuwiderhandelt, soweit die Rechtsverordnung für einen bestimmten Tatbestand auf diese Bußgeldvorschrift verweist,</w:t>
      </w:r>
    </w:p>
    <w:p>
      <w:pPr>
        <w:ind w:left="420"/>
      </w:pPr>
      <w:r>
        <w:t xml:space="preserve">8. einer vollziehbaren Anordnung nach</w:t>
      </w:r>
    </w:p>
    <w:p>
      <w:pPr>
        <w:ind w:left="780"/>
      </w:pPr>
      <w:r>
        <w:t xml:space="preserve">a) § 11 Absatz 1 Satz 1 oder Satz 2, § 26 Absatz 2 Satz 2 Nummer 1 oder Nummer 3 oder § 37 Absatz 7 Satz 2 zuwiderhandelt oder</w:t>
      </w:r>
    </w:p>
    <w:p>
      <w:pPr>
        <w:ind w:left="780"/>
      </w:pPr>
      <w:r>
        <w:t xml:space="preserve">b) § 26 Absatz 2 Satz 2 Nummer 2, 4, 6 bis 8 oder Nummer 9 oder Absatz 4 Satz 1 zuwiderhandelt,</w:t>
      </w:r>
    </w:p>
    <w:p>
      <w:pPr>
        <w:ind w:left="420"/>
      </w:pPr>
      <w:r>
        <w:t xml:space="preserve">9. entgegen § 22 Absatz 2 Satz 2 oder Absatz 4 ein dort genanntes Zeichen verwendet oder mit ihm wirbt,</w:t>
      </w:r>
    </w:p>
    <w:p>
      <w:pPr>
        <w:ind w:left="420"/>
      </w:pPr>
      <w:r>
        <w:t xml:space="preserve">10. entgegen § 22 Absatz 3 eine Vorgabe der Anlage Nummer 1, 2, 3, 4, 7, 8 Satz 1, Nummer 9 Satz 2 oder Satz 3 oder Nummer 10 nicht beachtet,</w:t>
      </w:r>
    </w:p>
    <w:p>
      <w:pPr>
        <w:ind w:left="420"/>
      </w:pPr>
      <w:r>
        <w:t xml:space="preserve">11. entgegen § 22 Absatz 5 Satz 2 eine Prüfung nicht, nicht richtig, nicht vollständig oder nicht rechtzeitig dokumentiert,</w:t>
      </w:r>
    </w:p>
    <w:p>
      <w:pPr>
        <w:ind w:left="420"/>
      </w:pPr>
      <w:r>
        <w:t xml:space="preserve">12. entgegen § 28 Absatz 4 Satz 1 eine Maßnahme nicht duldet oder eine Marktüberwachungsbehörde oder einen Beauftragten nicht unterstützt,</w:t>
      </w:r>
    </w:p>
    <w:p>
      <w:pPr>
        <w:ind w:left="420"/>
      </w:pPr>
      <w:r>
        <w:t xml:space="preserve">13. entgegen § 28 Absatz 4 Satz 2 eine Auskunft nicht, nicht richtig, nicht vollständig oder nicht rechtzeitig erteilt,</w:t>
      </w:r>
    </w:p>
    <w:p>
      <w:pPr>
        <w:ind w:left="420"/>
      </w:pPr>
      <w:r>
        <w:t xml:space="preserve">14. entgegen § 36 Satz 1 eine Anlage nicht oder nicht rechtzeitig zugänglich macht, eine Prüfung nicht gestattet, eine Arbeitskraft oder ein Hilfsmittel nicht oder nicht rechtzeitig bereitstellt, eine Angabe nicht, nicht richtig, nicht vollständig oder nicht rechtzeitig macht oder eine Unterlage nicht oder nicht rechtzeitig vorlegt,</w:t>
      </w:r>
    </w:p>
    <w:p>
      <w:pPr>
        <w:ind w:left="420"/>
      </w:pPr>
      <w:r>
        <w:t xml:space="preserve">15. entgegen § 38 Absatz 1 Satz 2 in Verbindung mit § 22 Absatz 2 Satz 6 des Arbeitsschutzgesetzes eine Maßnahme nicht duldet,</w:t>
      </w:r>
    </w:p>
    <w:p>
      <w:pPr>
        <w:ind w:left="420"/>
      </w:pPr>
      <w:r>
        <w:t xml:space="preserve">16. einer unmittelbar geltenden Vorschrift in Rechtsakten der Europäischen Gemeinschaft oder der Europäischen Union zuwiderhandelt, die inhaltlich einem in</w:t>
      </w:r>
    </w:p>
    <w:p>
      <w:pPr>
        <w:ind w:left="780"/>
      </w:pPr>
      <w:r>
        <w:t xml:space="preserve">a) Nummer 8 Buchstabe b oder</w:t>
      </w:r>
    </w:p>
    <w:p>
      <w:pPr>
        <w:ind w:left="780"/>
      </w:pPr>
      <w:r>
        <w:t xml:space="preserve">b) den Nummern 1 bis 6, 8 Buchstabe a oder den Nummern 11 bis 13</w:t>
      </w:r>
    </w:p>
    <w:p>
      <w:pPr>
        <w:ind w:left="420"/>
      </w:pPr>
      <w:r>
        <w:t xml:space="preserve">bezeichneten Gebot oder Verbot entspricht, soweit eine Rechtsverordnung nach Absatz 3 für einen bestimmten Tatbestand auf diese Bußgeldvorschrift verweist, oder</w:t>
      </w:r>
    </w:p>
    <w:p>
      <w:pPr>
        <w:ind w:left="420"/>
      </w:pPr>
      <w:r>
        <w:t xml:space="preserve">17. einer unmittelbar geltenden Vorschrift in Rechtsakten der Europäischen Gemeinschaft oder der Europäischen Union oder einer vollziehbaren Anordnung auf Grund einer solchen Vorschrift zuwiderhandelt, die inhaltlich einer Regelung entspricht, zu der die in</w:t>
      </w:r>
    </w:p>
    <w:p>
      <w:pPr>
        <w:ind w:left="780"/>
      </w:pPr>
      <w:r>
        <w:t xml:space="preserve">a) Nummer 7 Buchstabe a oder</w:t>
      </w:r>
    </w:p>
    <w:p>
      <w:pPr>
        <w:ind w:left="780"/>
      </w:pPr>
      <w:r>
        <w:t xml:space="preserve">b) Nummer 7 Buchstabe b</w:t>
      </w:r>
    </w:p>
    <w:p>
      <w:pPr>
        <w:ind w:left="420"/>
      </w:pPr>
      <w:r>
        <w:t xml:space="preserve">genannten Vorschriften ermächtigen, soweit eine Rechtsverordnung nach Absatz 3 für einen bestimmten Bußgeldtatbestand auf diese Bußgeldvorschrift verweist.</w:t>
      </w:r>
    </w:p>
    <w:p>
      <w:r>
        <w:t xml:space="preserve">(2) Die Ordnungswidrigkeit kann in den Fällen des Absatzes 1 Nummer 7 Buchstabe a, Nummer 8 Buchstabe b, Nummer 9, 16 Buchstabe a und Nummer 17 Buchstabe a mit einer Geldbuße bis zu hunderttausend Euro, in den übrigen Fällen mit einer Geldbuße bis zu zehntausend Euro geahndet werden.</w:t>
      </w:r>
    </w:p>
    <w:p>
      <w:r>
        <w:t xml:space="preserve">(3) Die Bundesregierung wird ermächtigt, soweit es zur Durchsetzung von Rechtsakten der Europäischen Gemeinschaft oder der Europäischen Union erforderlich ist, durch Rechtsverordnung ohne Zustimmung des Bundesrates die Tatbestände zu bezeichnen, die als Ordnungswidrigkeit nach Absatz 1 Nummer 16 und 17 geahndet werden können.</w:t>
      </w:r>
    </w:p>
    <w:p>
      <w:r>
        <w:rPr>
          <w:color w:val="555555"/>
          <w:sz w:val="17"/>
        </w:rPr>
        <w:t xml:space="preserve">Zitiervorschlag: § 39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