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ProdSG 2011 — Aufsichtsbehörden</w:t>
      </w:r>
    </w:p>
    <w:p>
      <w:r>
        <w:rPr>
          <w:color w:val="555555"/>
          <w:sz w:val="18"/>
        </w:rPr>
        <w:t xml:space="preserve">Produktsicherheitsgesetz</w:t>
      </w:r>
    </w:p>
    <w:p>
      <w:r>
        <w:rPr>
          <w:color w:val="555555"/>
          <w:sz w:val="18"/>
        </w:rPr>
        <w:t xml:space="preserve">Historische Fassung: Stand 03.07.2020 bis 31.07.2021. Dies ist nicht die aktuelle Fassung.</w:t>
      </w:r>
    </w:p>
    <w:p>
      <w:r>
        <w:t xml:space="preserve">(1) Die Aufsicht über die Ausführung der nach § 34 Absatz 1 erlassenen Rechtsverordnungen obliegt den nach Landesrecht zuständigen Behörden. Hierbei finden § 22 Absatz 1 und 2 sowie § 23 Absatz 2 des Arbeitsschutzgesetzes entsprechende Anwendung.</w:t>
      </w:r>
    </w:p>
    <w:p>
      <w:r>
        <w:t xml:space="preserve">(2) Für Anlagen, die der Überwachung durch die Bundesverwaltung unterstehen, kann in Rechtsverordnungen nach § 34 Absatz 1 die Aufsicht dem Bundesministerium des Innern, für Bau und Heimat oder einem anderen Bundesministerium für mehrere Geschäftsbereiche der Bundesverwaltung übertragen werden; das Bundesministerium kann die Aufsicht einer von ihm bestimmten Stelle übertragen. § 48 des Bundeswasserstraßengesetzes und § 4 des Bundesfernstraßengesetzes bleiben unberührt.</w:t>
      </w:r>
    </w:p>
    <w:p>
      <w:r>
        <w:rPr>
          <w:color w:val="555555"/>
          <w:sz w:val="17"/>
        </w:rPr>
        <w:t xml:space="preserve">Zitiervorschlag: § 38 ProdSG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https://recht.nulegal.eu/gesetze/ProdSG%202011/38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