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ProdSG 2011 — Befugnisse der zuständigen Behörde</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Die zuständige Behörde kann im Einzelfall die erforderlichen Maßnahmen zur Erfüllung der durch Rechtsverordnung nach § 34 auferlegten Pflichten anordnen. Sie kann darüber hinaus die Maßnahmen anordnen, die im Einzelfall erforderlich sind, um Gefahren für Beschäftigte oder Dritte abzuwenden.</w:t>
      </w:r>
    </w:p>
    <w:p>
      <w:r>
        <w:t xml:space="preserve">(2) Die zuständige Behörde kann die Stilllegung oder Beseitigung einer Anlage anordnen, die ohne die auf Grund einer Rechtsverordnung nach § 34 Absatz 1 Nummer 2 erforderliche Erlaubnis oder ohne die auf Grund einer Rechtsverordnung nach § 34 Absatz 1 Nummer 5 erforderliche Prüfung durch eine zugelassene Überwachungsstelle errichtet, betrieben oder geändert wird.</w:t>
      </w:r>
    </w:p>
    <w:p>
      <w:r>
        <w:t xml:space="preserve">(3) Im Falle von Anordnungen nach Absatz 1 kann die zuständige Behörde den Betrieb der betreffenden Anlage untersagen, bis der Zustand hergestellt ist, der den Anordnungen entspricht. Das Gleiche gilt, wenn eine Anordnung nach anderen, die Einrichtung oder die Arbeitsstätte, in der die Anlage betrieben wird, betreffenden Vorschriften getroffen wird.</w:t>
      </w:r>
    </w:p>
    <w:p>
      <w:r>
        <w:rPr>
          <w:color w:val="555555"/>
          <w:sz w:val="17"/>
        </w:rPr>
        <w:t xml:space="preserve">Zitiervorschlag: § 35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