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ProdSG 2011 — Schnellinformationssystem RAPEX</w:t>
      </w:r>
    </w:p>
    <w:p>
      <w:r>
        <w:rPr>
          <w:color w:val="555555"/>
          <w:sz w:val="18"/>
        </w:rPr>
        <w:t xml:space="preserve">Produktsicherheitsgesetz</w:t>
      </w:r>
    </w:p>
    <w:p>
      <w:r>
        <w:rPr>
          <w:color w:val="555555"/>
          <w:sz w:val="18"/>
        </w:rPr>
        <w:t xml:space="preserve">Historische Fassung: Stand 10.06.2019 bis 31.07.2021. Dies ist nicht die aktuelle Fassung.</w:t>
      </w:r>
    </w:p>
    <w:p>
      <w:r>
        <w:t xml:space="preserve">(1) Trifft die Marktüberwachungsbehörde eine Maßnahme nach § 26 Absatz 4 oder beabsichtigt sie dies, so unterrichtet sie die Bundesanstalt für Arbeitsschutz und Arbeitsmedizin unverzüglich über diese Maßnahme. Dabei gibt sie auch an, ob der Anlass für die Maßnahme außerhalb des Geltungsbereichs dieses Gesetzes liegt oder ob die Auswirkungen dieser Maßnahme über den Geltungsbereich dieses Gesetzes hinausreichen. Außerdem informiert sie die Bundesanstalt für Arbeitsschutz und Arbeitsmedizin unverzüglich über Änderungen einer solchen Maßnahme oder ihre Rücknahme.</w:t>
      </w:r>
    </w:p>
    <w:p>
      <w:r>
        <w:t xml:space="preserve">(2) Ist ein Produkt auf dem Markt bereitgestellt worden, das ein ernstes Risiko darstellt, so unterrichtet die Marktüberwachungsbehörde die Bundesanstalt für Arbeitsschutz und Arbeitsmedizin ferner über alle Maßnahmen, die ein Wirtschaftsakteur freiwillig getroffen und der Marktüberwachungsbehörde mitgeteilt hat.</w:t>
      </w:r>
    </w:p>
    <w:p>
      <w:r>
        <w:t xml:space="preserve">(3) Bei der Unterrichtung nach den Absätzen 1 und 2 werden alle verfügbaren Informationen übermittelt, insbesondere die erforderlichen Daten für die Identifizierung des Produkts, zur Herkunft und Lieferkette des Produkts, zu den mit dem Produkt verbundenen Gefahren, zur Art und Dauer der getroffenen Maßnahme sowie zu den von den Wirtschaftsakteuren freiwillig getroffenen Maßnahmen.</w:t>
      </w:r>
    </w:p>
    <w:p>
      <w:r>
        <w:t xml:space="preserve">(4) Die Bundesanstalt für Arbeitsschutz und Arbeitsmedizin überprüft die eingegangenen Meldungen auf Vollständigkeit und Schlüssigkeit. Sie leitet diese Meldungen unverzüglich der Europäischen Kommission und den übrigen Mitgliedstaaten der Europäischen Union zu, wenn die Marktüberwachungsbehörde angegeben hat, dass der Anlass für die Maßnahme außerhalb des Geltungsbereichs dieses Gesetzes liegt oder dass die Auswirkungen dieser Maßnahme über den Geltungsbereich dieses Gesetzes hinausreichen. Für die Meldungen wird das System für Marktüberwachung und Informationsaustausch nach Artikel 12 der Richtlinie 2001/95/EG angewendet. Die Bundesanstalt für Arbeitsschutz und Arbeitsmedizin unterrichtet die Marktüberwachungsbehörden sowie die zuständigen Bundesressorts über Meldungen, die ihr über das System zugehen.</w:t>
      </w:r>
    </w:p>
    <w:p>
      <w:r>
        <w:rPr>
          <w:color w:val="555555"/>
          <w:sz w:val="17"/>
        </w:rPr>
        <w:t xml:space="preserve">Zitiervorschlag: § 30 ProdSG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https://recht.nulegal.eu/gesetze/ProdSG%202011/30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