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ProdSG 2011 — Adressaten der Marktüberwachungsmaßnahmen</w:t>
      </w:r>
    </w:p>
    <w:p>
      <w:r>
        <w:rPr>
          <w:color w:val="555555"/>
          <w:sz w:val="18"/>
        </w:rPr>
        <w:t xml:space="preserve">Produktsicherheitsgesetz</w:t>
      </w:r>
    </w:p>
    <w:p>
      <w:r>
        <w:rPr>
          <w:color w:val="555555"/>
          <w:sz w:val="18"/>
        </w:rPr>
        <w:t xml:space="preserve">Historische Fassung: Stand 10.06.2019 bis 31.07.2021. Dies ist nicht die aktuelle Fassung.</w:t>
      </w:r>
    </w:p>
    <w:p>
      <w:r>
        <w:t xml:space="preserve">(1) Die Maßnahmen der Marktüberwachungsbehörde sind gegen den jeweils betroffenen Wirtschaftsakteur oder Aussteller gerichtet. Maßnahmen gegen jede andere Person sind nur zulässig, solange ein gegenwärtiges ernstes Risiko nicht auf andere Weise abgewehrt werden kann. Entsteht der anderen Person durch die Maßnahme ein Schaden, so ist dieser zu ersetzen, es sei denn, die Person kann auf andere Weise Ersatz erlangen oder ihr Vermögen wird durch die Maßnahme geschützt.</w:t>
      </w:r>
    </w:p>
    <w:p>
      <w:r>
        <w:t xml:space="preserve">(2) Die nach Absatz 1 betroffene Person ist vor Erlass der Maßnahme nach § 28 des Verwaltungsverfahrensgesetzes anzuhören mit der Maßgabe, dass die Anhörungsfrist nicht kürzer als zehn Tage sein darf. Wurde eine Maßnahme getroffen, ohne dass die betroffene Person angehört wurde, wird ihr so schnell wie möglich Gelegenheit gegeben, sich zu äußern. Die Maßnahme wird daraufhin umgehend überprüft.</w:t>
      </w:r>
    </w:p>
    <w:p>
      <w:r>
        <w:rPr>
          <w:color w:val="555555"/>
          <w:sz w:val="17"/>
        </w:rPr>
        <w:t xml:space="preserve">Zitiervorschlag: § 27 ProdSG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https://recht.nulegal.eu/gesetze/ProdSG%202011/27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