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ProdSG 2011 — Begriffsbestimmungen</w:t>
      </w:r>
    </w:p>
    <w:p>
      <w:r>
        <w:rPr>
          <w:color w:val="555555"/>
          <w:sz w:val="18"/>
        </w:rPr>
        <w:t xml:space="preserve">Produktsicherheitsgesetz</w:t>
      </w:r>
    </w:p>
    <w:p>
      <w:r>
        <w:rPr>
          <w:color w:val="555555"/>
          <w:sz w:val="18"/>
        </w:rPr>
        <w:t xml:space="preserve">Historische Fassung: Stand 10.06.2019 bis 31.07.2021. Dies ist nicht die aktuelle Fassung.</w:t>
      </w:r>
    </w:p>
    <w:p>
      <w:r>
        <w:t xml:space="preserve">Im Sinne dieses Gesetzes</w:t>
      </w:r>
    </w:p>
    <w:p>
      <w:pPr>
        <w:ind w:left="420"/>
      </w:pPr>
      <w:r>
        <w:t xml:space="preserve">1. ist Akkreditierung die Bestätigung durch eine nationale Akkreditierungsstelle, dass eine Konformitätsbewertungsstelle die in harmonisierten Normen festgelegten Anforderungen und gegebenenfalls zusätzliche Anforderungen, einschließlich solcher in relevanten sektoralen Akkreditierungssystemen, erfüllt, um eine spezielle Konformitätsbewertungstätigkeit durchzuführen,</w:t>
      </w:r>
    </w:p>
    <w:p>
      <w:pPr>
        <w:ind w:left="420"/>
      </w:pPr>
      <w:r>
        <w:t xml:space="preserve">2. ist Ausstellen das Anbieten, Aufstellen oder Vorführen von Produkten zu Zwecken der Werbung oder der Bereitstellung auf dem Markt,</w:t>
      </w:r>
    </w:p>
    <w:p>
      <w:pPr>
        <w:ind w:left="420"/>
      </w:pPr>
      <w:r>
        <w:t xml:space="preserve">3. ist Aussteller jede natürliche oder juristische Person, die ein Produkt ausstellt,</w:t>
      </w:r>
    </w:p>
    <w:p>
      <w:pPr>
        <w:ind w:left="420"/>
      </w:pPr>
      <w:r>
        <w:t xml:space="preserve">4. ist Bereitstellung auf dem Markt jede entgeltliche oder unentgeltliche Abgabe eines Produkts zum Vertrieb, Verbrauch oder zur Verwendung auf dem Markt der Europäischen Union im Rahmen einer Geschäftstätigkeit,</w:t>
      </w:r>
    </w:p>
    <w:p>
      <w:pPr>
        <w:ind w:left="420"/>
      </w:pPr>
      <w:r>
        <w:t xml:space="preserve">5. ist bestimmungsgemäße Verwendung</w:t>
      </w:r>
    </w:p>
    <w:p>
      <w:pPr>
        <w:ind w:left="780"/>
      </w:pPr>
      <w:r>
        <w:t xml:space="preserve">a) die Verwendung, für die ein Produkt nach den Angaben derjenigen Person, die es in den Verkehr bringt, vorgesehen ist oder</w:t>
      </w:r>
    </w:p>
    <w:p>
      <w:pPr>
        <w:ind w:left="780"/>
      </w:pPr>
      <w:r>
        <w:t xml:space="preserve">b) die übliche Verwendung, die sich aus der Bauart und Ausführung des Produkts ergibt,</w:t>
      </w:r>
    </w:p>
    <w:p>
      <w:pPr>
        <w:ind w:left="420"/>
      </w:pPr>
      <w:r>
        <w:t xml:space="preserve">6. ist Bevollmächtigter jede im Europäischen Wirtschaftsraum ansässige natürliche oder juristische Person, die der Hersteller schriftlich beauftragt hat, in seinem Namen bestimmte Aufgaben wahrzunehmen, um seine Verpflichtungen nach der einschlägigen Gesetzgebung der Europäischen Union zu erfüllen,</w:t>
      </w:r>
    </w:p>
    <w:p>
      <w:pPr>
        <w:ind w:left="420"/>
      </w:pPr>
      <w:r>
        <w:t xml:space="preserve">7. ist CE-Kennzeichnung die Kennzeichnung, durch die der Hersteller erklärt, dass das Produkt den geltenden Anforderungen genügt, die in den Harmonisierungsrechtsvorschriften der Europäischen Union, die ihre Anbringung vorschreiben, festgelegt sind,</w:t>
      </w:r>
    </w:p>
    <w:p>
      <w:pPr>
        <w:ind w:left="420"/>
      </w:pPr>
      <w:r>
        <w:t xml:space="preserve">8. ist Einführer jede im Europäischen Wirtschaftsraum ansässige natürliche oder juristische Person, die ein Produkt aus einem Staat, der nicht dem Europäischen Wirtschaftsraum angehört, in den Verkehr bringt,</w:t>
      </w:r>
    </w:p>
    <w:p>
      <w:pPr>
        <w:ind w:left="420"/>
      </w:pPr>
      <w:r>
        <w:t xml:space="preserve">9. ist ernstes Risiko jedes Risiko, das ein rasches Eingreifen der Marktüberwachungsbehörden erfordert, auch wenn das Risiko keine unmittelbare Auswirkung hat,</w:t>
      </w:r>
    </w:p>
    <w:p>
      <w:pPr>
        <w:ind w:left="420"/>
      </w:pPr>
      <w:r>
        <w:t xml:space="preserve">10. ist Gefahr die mögliche Ursache eines Schadens,</w:t>
      </w:r>
    </w:p>
    <w:p>
      <w:pPr>
        <w:ind w:left="420"/>
      </w:pPr>
      <w:r>
        <w:t xml:space="preserve">11. ist GS-Stelle eine Konformitätsbewertungsstelle, der von der Befugnis erteilenden Behörde die Befugnis erteilt wurde, das GS-Zeichen zuzuerkennen,</w:t>
      </w:r>
    </w:p>
    <w:p>
      <w:pPr>
        <w:ind w:left="420"/>
      </w:pPr>
      <w:r>
        <w:t xml:space="preserve">12. ist Händler jede natürliche oder juristische Person in der Lieferkette, die ein Produkt auf dem Markt bereitstellt, mit Ausnahme des Herstellers und des Einführers,</w:t>
      </w:r>
    </w:p>
    <w:p>
      <w:pPr>
        <w:ind w:left="420"/>
      </w:pPr>
      <w:r>
        <w:t xml:space="preserve">13. ist harmonisierte Norm eine Norm, die von einem der in Anhang I der Richtlinie 98/34/EG des Europäischen Parlaments und des Rates vom 22. Juni 1998 über ein Informationsverfahren auf dem Gebiet der Normen und technischen Vorschriften und der Vorschriften für die Dienste der Informationsgesellschaft (ABl. L 204 vom 21.7.1998, S. 37), die zuletzt durch die Richtlinie 2006/96/EG (ABl. L 363 vom 20.12.2006, S. 81) geändert worden ist, anerkannten europäischen Normungsgremien auf der Grundlage eines Ersuchens der Europäischen Kommission nach Artikel 6 jener Richtlinie erstellt wurde,</w:t>
      </w:r>
    </w:p>
    <w:p>
      <w:pPr>
        <w:ind w:left="420"/>
      </w:pPr>
      <w:r>
        <w:t xml:space="preserve">14. ist Hersteller jede natürliche oder juristische Person, die ein Produkt herstellt oder entwickeln oder herstellen lässt und dieses Produkt unter ihrem eigenen Namen oder ihrer eigenen Marke vermarktet; als Hersteller gilt auch jeder, der</w:t>
      </w:r>
    </w:p>
    <w:p>
      <w:pPr>
        <w:ind w:left="780"/>
      </w:pPr>
      <w:r>
        <w:t xml:space="preserve">a) geschäftsmäßig seinen Namen, seine Marke oder ein anderes unterscheidungskräftiges Kennzeichen an einem Produkt anbringt und sich dadurch als Hersteller ausgibt oder</w:t>
      </w:r>
    </w:p>
    <w:p>
      <w:pPr>
        <w:ind w:left="780"/>
      </w:pPr>
      <w:r>
        <w:t xml:space="preserve">b) ein Produkt wiederaufarbeitet oder die Sicherheitseigenschaften eines Verbraucherprodukts beeinflusst und dieses anschließend auf dem Markt bereitstellt,</w:t>
      </w:r>
    </w:p>
    <w:p>
      <w:pPr>
        <w:ind w:left="420"/>
      </w:pPr>
      <w:r>
        <w:t xml:space="preserve">15. ist Inverkehrbringen die erstmalige Bereitstellung eines Produkts auf dem Markt; die Einfuhr in den Europäischen Wirtschaftsraum steht dem Inverkehrbringen eines neuen Produkts gleich,</w:t>
      </w:r>
    </w:p>
    <w:p>
      <w:pPr>
        <w:ind w:left="420"/>
      </w:pPr>
      <w:r>
        <w:t xml:space="preserve">16. ist Konformitätsbewertung das Verfahren zur Bewertung, ob spezifische Anforderungen an ein Produkt, ein Verfahren, eine Dienstleistung, ein System, eine Person oder eine Stelle erfüllt worden sind,</w:t>
      </w:r>
    </w:p>
    <w:p>
      <w:pPr>
        <w:ind w:left="420"/>
      </w:pPr>
      <w:r>
        <w:t xml:space="preserve">17. ist Konformitätsbewertungsstelle eine Stelle, die Konformitätsbewertungstätigkeiten einschließlich Kalibrierungen, Prüfungen, Zertifizierungen und Inspektionen durchführt,</w:t>
      </w:r>
    </w:p>
    <w:p>
      <w:pPr>
        <w:ind w:left="420"/>
      </w:pPr>
      <w:r>
        <w:t xml:space="preserve">18. ist Marktüberwachung jede von den zuständigen Behörden durchgeführte Tätigkeit und von ihnen getroffene Maßnahme, durch die sichergestellt werden soll, dass die Produkte mit den Anforderungen dieses Gesetzes übereinstimmen und die Sicherheit und Gesundheit von Personen oder andere im öffentlichen Interesse schützenswerte Bereiche nicht gefährden,</w:t>
      </w:r>
    </w:p>
    <w:p>
      <w:pPr>
        <w:ind w:left="420"/>
      </w:pPr>
      <w:r>
        <w:t xml:space="preserve">19. ist Marktüberwachungsbehörde jede Behörde, die für die Durchführung der Marktüberwachung zuständig ist,</w:t>
      </w:r>
    </w:p>
    <w:p>
      <w:pPr>
        <w:ind w:left="420"/>
      </w:pPr>
      <w:r>
        <w:t xml:space="preserve">20. ist notifizierte Stelle eine Konformitätsbewertungsstelle,</w:t>
      </w:r>
    </w:p>
    <w:p>
      <w:pPr>
        <w:ind w:left="780"/>
      </w:pPr>
      <w:r>
        <w:t xml:space="preserve">a) der die Befugnis erteilende Behörde die Befugnis erteilt hat, Konformitätsbewertungsaufgaben nach den Rechtsverordnungen nach § 8 Absatz 1, die erlassen wurden, um Rechtsvorschriften der Europäischen Union umzusetzen oder durchzuführen, wahrzunehmen, und die von der Befugnis erteilenden Behörde der Europäischen Kommission und den übrigen Mitgliedstaaten notifiziert worden ist oder</w:t>
      </w:r>
    </w:p>
    <w:p>
      <w:pPr>
        <w:ind w:left="780"/>
      </w:pPr>
      <w:r>
        <w:t xml:space="preserve">b) die der Europäischen Kommission und den übrigen Mitgliedstaaten von einem Mitgliedstaat der Europäischen Union oder einem anderen Vertragsstaat des Abkommens über den Europäischen Wirtschaftsraum auf Grund eines europäischen Rechtsaktes als notifizierte Stelle mitgeteilt worden ist,</w:t>
      </w:r>
    </w:p>
    <w:p>
      <w:pPr>
        <w:ind w:left="420"/>
      </w:pPr>
      <w:r>
        <w:t xml:space="preserve">21. ist Notifizierung die Mitteilung der Befugnis erteilenden Behörde an die Europäische Kommission und die übrigen Mitgliedstaaten, dass eine Konformitätsbewertungsstelle Konformitätsbewertungsaufgaben gemäß den nach § 8 Absatz 1 zur Umsetzung oder Durchführung von Rechtsvorschriften der Europäischen Union erlassenen Rechtsverordnungen wahrnehmen kann,</w:t>
      </w:r>
    </w:p>
    <w:p>
      <w:pPr>
        <w:ind w:left="420"/>
      </w:pPr>
      <w:r>
        <w:t xml:space="preserve">22. sind Produkte Waren, Stoffe oder Zubereitungen, die durch einen Fertigungsprozess hergestellt worden sind,</w:t>
      </w:r>
    </w:p>
    <w:p>
      <w:pPr>
        <w:ind w:left="420"/>
      </w:pPr>
      <w:r>
        <w:t xml:space="preserve">23. ist Risiko die Kombination aus der Eintrittswahrscheinlichkeit einer Gefahr und der Schwere des möglichen Schadens,</w:t>
      </w:r>
    </w:p>
    <w:p>
      <w:pPr>
        <w:ind w:left="420"/>
      </w:pPr>
      <w:r>
        <w:t xml:space="preserve">24. ist Rücknahme jede Maßnahme, mit der verhindert werden soll, dass ein Produkt, das sich in der Lieferkette befindet, auf dem Markt bereitgestellt wird,</w:t>
      </w:r>
    </w:p>
    <w:p>
      <w:pPr>
        <w:ind w:left="420"/>
      </w:pPr>
      <w:r>
        <w:t xml:space="preserve">25. ist Rückruf jede Maßnahme, die darauf abzielt, die Rückgabe eines dem Endverbraucher bereitgestellten Produkts zu erwirken,</w:t>
      </w:r>
    </w:p>
    <w:p>
      <w:pPr>
        <w:ind w:left="420"/>
      </w:pPr>
      <w:r>
        <w:t xml:space="preserve">26. sind Verbraucherprodukte neue, gebrauchte oder wiederaufgearbeitete Produkte, die für Verbraucher bestimmt sind oder unter Bedingungen, die nach vernünftigem Ermessen vorhersehbar sind, von Verbrauchern benutzt werden könnten, selbst wenn sie nicht für diese bestimmt sind; als Verbraucherprodukte gelten auch Produkte, die dem Verbraucher im Rahmen einer Dienstleistung zur Verfügung gestellt werden,</w:t>
      </w:r>
    </w:p>
    <w:p>
      <w:pPr>
        <w:ind w:left="420"/>
      </w:pPr>
      <w:r>
        <w:t xml:space="preserve">27. sind Produkte verwendungsfertig, wenn sie bestimmungsgemäß verwendet werden können, ohne dass weitere Teile eingefügt zu werden brauchen; verwendungsfertig sind Produkte auch, wenn</w:t>
      </w:r>
    </w:p>
    <w:p>
      <w:pPr>
        <w:ind w:left="780"/>
      </w:pPr>
      <w:r>
        <w:t xml:space="preserve">a) alle Teile, aus denen sie zusammengesetzt werden sollen, zusammen von einer Person in den Verkehr gebracht werden,</w:t>
      </w:r>
    </w:p>
    <w:p>
      <w:pPr>
        <w:ind w:left="780"/>
      </w:pPr>
      <w:r>
        <w:t xml:space="preserve">b) sie nur noch aufgestellt oder angeschlossen zu werden brauchen oder</w:t>
      </w:r>
    </w:p>
    <w:p>
      <w:pPr>
        <w:ind w:left="780"/>
      </w:pPr>
      <w:r>
        <w:t xml:space="preserve">c) sie ohne die Teile in den Verkehr gebracht werden, die üblicherweise gesondert beschafft und bei der bestimmungsgemäßen Verwendung eingefügt werden,</w:t>
      </w:r>
    </w:p>
    <w:p>
      <w:pPr>
        <w:ind w:left="420"/>
      </w:pPr>
      <w:r>
        <w:t xml:space="preserve">28. ist vorhersehbare Verwendung die Verwendung eines Produkts in einer Weise, die von derjenigen Person, die es in den Verkehr bringt, nicht vorgesehen, jedoch nach vernünftigem Ermessen vorhersehbar ist,</w:t>
      </w:r>
    </w:p>
    <w:p>
      <w:pPr>
        <w:ind w:left="420"/>
      </w:pPr>
      <w:r>
        <w:t xml:space="preserve">29. sind Wirtschaftsakteure Hersteller, Bevollmächtigte, Einführer und Händler,</w:t>
      </w:r>
    </w:p>
    <w:p>
      <w:pPr>
        <w:ind w:left="420"/>
      </w:pPr>
      <w:r>
        <w:t xml:space="preserve">30. sind überwachungsbedürftige Anlagen</w:t>
      </w:r>
    </w:p>
    <w:p>
      <w:pPr>
        <w:ind w:left="780"/>
      </w:pPr>
      <w:r>
        <w:t xml:space="preserve">a) Dampfkesselanlagen mit Ausnahme von Dampfkesselanlagen auf Seeschiffen,</w:t>
      </w:r>
    </w:p>
    <w:p>
      <w:pPr>
        <w:ind w:left="780"/>
      </w:pPr>
      <w:r>
        <w:t xml:space="preserve">b) Druckbehälteranlagen außer Dampfkesseln,</w:t>
      </w:r>
    </w:p>
    <w:p>
      <w:pPr>
        <w:ind w:left="780"/>
      </w:pPr>
      <w:r>
        <w:t xml:space="preserve">c) Anlagen zur Abfüllung von verdichteten, verflüssigten oder unter Druck gelösten Gasen,</w:t>
      </w:r>
    </w:p>
    <w:p>
      <w:pPr>
        <w:ind w:left="780"/>
      </w:pPr>
      <w:r>
        <w:t xml:space="preserve">d) Leitungen unter innerem Überdruck für brennbare, ätzende oder giftige Gase, Dämpfe oder Flüssigkeiten,</w:t>
      </w:r>
    </w:p>
    <w:p>
      <w:pPr>
        <w:ind w:left="780"/>
      </w:pPr>
      <w:r>
        <w:t xml:space="preserve">e) Aufzugsanlagen,</w:t>
      </w:r>
    </w:p>
    <w:p>
      <w:pPr>
        <w:ind w:left="780"/>
      </w:pPr>
      <w:r>
        <w:t xml:space="preserve">f) Anlagen in explosionsgefährdeten Bereichen,</w:t>
      </w:r>
    </w:p>
    <w:p>
      <w:pPr>
        <w:ind w:left="780"/>
      </w:pPr>
      <w:r>
        <w:t xml:space="preserve">g) Getränkeschankanlagen und Anlagen zur Herstellung kohlensaurer Getränke,</w:t>
      </w:r>
    </w:p>
    <w:p>
      <w:pPr>
        <w:ind w:left="780"/>
      </w:pPr>
      <w:r>
        <w:t xml:space="preserve">h) Acetylenanlagen und Calciumcarbidlager,</w:t>
      </w:r>
    </w:p>
    <w:p>
      <w:pPr>
        <w:ind w:left="780"/>
      </w:pPr>
      <w:r>
        <w:t xml:space="preserve">i) Anlagen zur Lagerung, Abfüllung und Beförderung von brennbaren Flüssigkeiten.</w:t>
      </w:r>
    </w:p>
    <w:p>
      <w:pPr>
        <w:ind w:left="420"/>
      </w:pPr>
      <w:r>
        <w:t xml:space="preserve">Zu den überwachungsbedürftigen Anlagen gehören auch Mess-, Steuer- und Regeleinrichtungen, die dem sicheren Betrieb dieser überwachungsbedürftigen Anlagen dienen; zu den in den Buchstaben b, c und d bezeichneten überwachungsbedürftigen Anlagen gehören nicht die Energieanlagen im Sinne des Energiewirtschaftsgesetzes. Überwachungsbedürftige Anlagen stehen den Produkten im Sinne von Nummer 22 gleich, soweit sie nicht schon von Nummer 22 erfasst werden,</w:t>
      </w:r>
    </w:p>
    <w:p>
      <w:pPr>
        <w:ind w:left="420"/>
      </w:pPr>
      <w:r>
        <w:t xml:space="preserve">31. sind die für die Kontrolle der Außengrenzen zuständigen Behörden die Zollbehörden.</w:t>
      </w:r>
    </w:p>
    <w:p>
      <w:r>
        <w:rPr>
          <w:color w:val="555555"/>
          <w:sz w:val="17"/>
        </w:rPr>
        <w:t xml:space="preserve">Zitiervorschlag: § 2 ProdSG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