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ProdSG 2011 — Widerruf der erteilten Befugnis</w:t>
      </w:r>
    </w:p>
    <w:p>
      <w:r>
        <w:rPr>
          <w:color w:val="555555"/>
          <w:sz w:val="18"/>
        </w:rPr>
        <w:t xml:space="preserve">Produktsicherheitsgesetz</w:t>
      </w:r>
    </w:p>
    <w:p>
      <w:r>
        <w:rPr>
          <w:color w:val="555555"/>
          <w:sz w:val="18"/>
        </w:rPr>
        <w:t xml:space="preserve">Historische Fassung: Stand 10.06.2019 bis 31.07.2021. Dies ist nicht die aktuelle Fassung.</w:t>
      </w:r>
    </w:p>
    <w:p>
      <w:r>
        <w:t xml:space="preserve">(1) Falls die Befugnis erteilende Behörde feststellt oder darüber unterrichtet wird, dass eine notifizierte Stelle die in § 13 genannten Anforderungen nicht mehr erfüllt oder dass sie ihren Verpflichtungen nicht nachkommt, widerruft sie ganz oder teilweise die erteilte Befugnis. Sie unterrichtet unverzüglich die Europäische Kommission und die übrigen Mitgliedstaaten darüber.</w:t>
      </w:r>
    </w:p>
    <w:p>
      <w:r>
        <w:t xml:space="preserve">(2) Im Falle des Widerrufs nach Absatz 1 oder wenn die notifizierte Stelle ihre Tätigkeit einstellt, ergreift die Befugnis erteilende Behörde die geeigneten Maßnahmen, um zu gewährleisten, dass die Akten dieser Stelle von einer anderen notifizierten Stelle weiterbearbeitet und für die Befugnis erteilende Behörde und die Marktüberwachungsbehörden auf deren Verlangen bereitgehalten werden.</w:t>
      </w:r>
    </w:p>
    <w:p>
      <w:r>
        <w:rPr>
          <w:color w:val="555555"/>
          <w:sz w:val="17"/>
        </w:rPr>
        <w:t xml:space="preserve">Zitiervorschlag: § 19 ProdSG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https://recht.nulegal.eu/gesetze/ProdSG%202011/19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