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ProdSG 2011 — Notifizierungsverfahren, Erteilung der Befugnis</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Hat die Befugnis erteilende Behörde festgestellt, dass eine Konformitätsbewertungsstelle die Anforderungen nach § 13 erfüllt, so erteilt sie dieser die Befugnis, Konformitätsbewertungsaufgaben nach den Rechtsverordnungen nach § 8 Absatz 1, die erlassen wurden, um Rechtsvorschriften der Europäischen Union umzusetzen oder durchzuführen, wahrzunehmen, und notifiziert diese anschließend mit Hilfe des elektronischen Notifizierungsinstruments, das von der Europäischen Kommission entwickelt und verwaltet wird. Die Befugnis ist unter der aufschiebenden Bedingung zu erteilen, dass nach der Notifizierung</w:t>
      </w:r>
    </w:p>
    <w:p>
      <w:pPr>
        <w:ind w:left="420"/>
      </w:pPr>
      <w:r>
        <w:t xml:space="preserve">1. innerhalb von zwei Wochen, sofern eine Akkreditierungsurkunde nach § 12 Absatz 2 vorliegt, oder</w:t>
      </w:r>
    </w:p>
    <w:p>
      <w:pPr>
        <w:ind w:left="420"/>
      </w:pPr>
      <w:r>
        <w:t xml:space="preserve">2. innerhalb von zwei Monaten, sofern keine Akkreditierungsurkunde nach § 12 Absatz 2 vorliegt,</w:t>
      </w:r>
    </w:p>
    <w:p>
      <w:r>
        <w:t xml:space="preserve">weder die Europäische Kommission noch die übrigen Mitgliedstaaten Einwände erhoben haben. Die Befugnis kann unter weiteren Bedingungen erteilt und mit Auflagen verbunden werden. Sie kann befristet und mit dem Vorbehalt des Widerrufs sowie nachträglicher Auflagen erteilt werden.</w:t>
      </w:r>
    </w:p>
    <w:p>
      <w:r>
        <w:t xml:space="preserve">(2) Beruht die Bestätigung der Kompetenz nicht auf einer Akkreditierungsurkunde gemäß § 12 Absatz 2, legt die Befugnis erteilende Behörde der Europäischen Kommission und den übrigen Mitgliedstaaten die Unterlagen, die die Kompetenz der Konformitätsbewertungsstelle bestätigen, als Nachweis vor. Sie legt ferner die Vereinbarungen vor, die getroffen wurden, um sicherzustellen, dass die Konformitätsbewertungsstelle regelmäßig überwacht wird und stets den Anforderungen nach § 13 genügt.</w:t>
      </w:r>
    </w:p>
    <w:p>
      <w:r>
        <w:t xml:space="preserve">(3) Die Befugnis erteilende Behörde meldet der Europäischen Kommission und den übrigen Mitgliedstaaten jede später eintretende Änderung der Notifizierung.</w:t>
      </w:r>
    </w:p>
    <w:p>
      <w:r>
        <w:t xml:space="preserve">(4) Die Befugnis erteilende Behörde erteilt der Europäischen Kommission auf Verlangen sämtliche Auskünfte über die Grundlage für die Notifizierung oder die Erhaltung der Kompetenz der betreffenden Stelle.</w:t>
      </w:r>
    </w:p>
    <w:p>
      <w:r>
        <w:rPr>
          <w:color w:val="555555"/>
          <w:sz w:val="17"/>
        </w:rPr>
        <w:t xml:space="preserve">Zitiervorschlag: § 15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