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ProdSG 2011 — Konformitätsvermutung</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Weist eine Konformitätsbewertungsstelle durch eine Akkreditierung nach, dass sie die Kriterien der einschlägigen harmonisierten Normen oder von Teilen dieser Normen erfüllt, deren Fundstellen im Amtsblatt der Europäischen Union veröffentlicht worden sind, wird vermutet, dass sie die Anforderungen nach § 13 in dem Umfang erfüllt, in dem die anwendbaren harmonisierten Normen diese Anforderungen abdecken.</w:t>
      </w:r>
    </w:p>
    <w:p>
      <w:r>
        <w:t xml:space="preserve">(2) Ist die Befugnis erteilende Behörde der Auffassung, dass eine harmonisierte Norm den von ihr abgedeckten Anforderungen nach § 13 nicht voll entspricht, so unterrichtet sie hiervon unter Angabe der Gründe die Bundesanstalt für Arbeitsschutz und Arbeitsmedizin. Die Bundesanstalt für Arbeitsschutz und Arbeitsmedizin überprüft die eingegangenen Meldungen auf Vollständigkeit und Schlüssigkeit; sie beteiligt den Ausschuss für Produktsicherheit. Sie leitet die Meldungen dem Bundesministerium für Arbeit und Soziales zu.</w:t>
      </w:r>
    </w:p>
    <w:p>
      <w:r>
        <w:rPr>
          <w:color w:val="555555"/>
          <w:sz w:val="17"/>
        </w:rPr>
        <w:t xml:space="preserve">Zitiervorschlag: § 14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