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ProdSG 2011 — Anwendungsbereich</w:t>
      </w:r>
    </w:p>
    <w:p>
      <w:r>
        <w:rPr>
          <w:color w:val="555555"/>
          <w:sz w:val="18"/>
        </w:rPr>
        <w:t xml:space="preserve">Produktsicherheitsgesetz</w:t>
      </w:r>
    </w:p>
    <w:p>
      <w:r>
        <w:rPr>
          <w:color w:val="555555"/>
          <w:sz w:val="18"/>
        </w:rPr>
        <w:t xml:space="preserve">Historische Fassung: Stand 26.05.2021 bis 31.07.2021. Dies ist nicht die aktuelle Fassung.</w:t>
      </w:r>
    </w:p>
    <w:p>
      <w:r>
        <w:t xml:space="preserve">(1) Dieses Gesetz gilt, wenn im Rahmen einer Geschäftstätigkeit Produkte auf dem Markt bereitgestellt, ausgestellt oder erstmals verwendet werden.</w:t>
      </w:r>
    </w:p>
    <w:p>
      <w:r>
        <w:t xml:space="preserve">(2) Dieses Gesetz gilt auch für die Errichtung und den Betrieb überwachungsbedürftiger Anlagen, die gewerblichen oder wirtschaftlichen Zwecken dienen oder durch die Beschäftigte gefährdet werden können, mit Ausnahme der überwachungsbedürftigen Anlagen</w:t>
      </w:r>
    </w:p>
    <w:p>
      <w:pPr>
        <w:ind w:left="420"/>
      </w:pPr>
      <w:r>
        <w:t xml:space="preserve">1. der Fahrzeuge von Magnetschwebebahnen, soweit diese Fahrzeuge den Bestimmungen des Bundes zum Bau und Betrieb solcher Bahnen unterliegen,</w:t>
      </w:r>
    </w:p>
    <w:p>
      <w:pPr>
        <w:ind w:left="420"/>
      </w:pPr>
      <w:r>
        <w:t xml:space="preserve">2. des rollenden Materials von Eisenbahnen, ausgenommen Ladegutbehälter, soweit dieses Material den Bestimmungen der Bau- und Betriebsordnungen des Bundes und der Länder unterliegt,</w:t>
      </w:r>
    </w:p>
    <w:p>
      <w:pPr>
        <w:ind w:left="420"/>
      </w:pPr>
      <w:r>
        <w:t xml:space="preserve">3. in Unternehmen des Bergwesens, ausgenommen in deren Tagesanlagen.</w:t>
      </w:r>
    </w:p>
    <w:p>
      <w:r>
        <w:t xml:space="preserve">(3) Dieses Gesetz gilt nicht für</w:t>
      </w:r>
    </w:p>
    <w:p>
      <w:pPr>
        <w:ind w:left="420"/>
      </w:pPr>
      <w:r>
        <w:t xml:space="preserve">1. Antiquitäten,</w:t>
      </w:r>
    </w:p>
    <w:p>
      <w:pPr>
        <w:ind w:left="420"/>
      </w:pPr>
      <w:r>
        <w:t xml:space="preserve">2. gebrauchte Produkte, die vor ihrer Verwendung instand gesetzt oder wiederaufgearbeitet werden müssen, sofern der Wirtschaftsakteur denjenigen, an den sie abgegeben werden, darüber ausreichend unterrichtet,</w:t>
      </w:r>
    </w:p>
    <w:p>
      <w:pPr>
        <w:ind w:left="420"/>
      </w:pPr>
      <w:r>
        <w:t xml:space="preserve">3. Produkte, die ihrer Bauart nach ausschließlich zur Verwendung für militärische Zwecke bestimmt sind,</w:t>
      </w:r>
    </w:p>
    <w:p>
      <w:pPr>
        <w:ind w:left="420"/>
      </w:pPr>
      <w:r>
        <w:t xml:space="preserve">4. Lebensmittel, Futtermittel, lebende Pflanzen und Tiere, Erzeugnisse menschlichen Ursprungs und Erzeugnisse von Pflanzen und Tieren, die unmittelbar mit ihrer künftigen Reproduktion zusammenhängen,</w:t>
      </w:r>
    </w:p>
    <w:p>
      <w:pPr>
        <w:ind w:left="420"/>
      </w:pPr>
      <w:r>
        <w:t xml:space="preserve">5. Medizinprodukte im Sinne von Artikel 2 Nummer 1 der Verordnung (EU) 2017/745 des Europäischen Parlaments und des Rates vom 5. April 2017 über Medizinprodukte, zur Änderung der Richtlinie 2001/83/EG, der Verordnung (EG) Nr. 178/2002 und der Verordnung (EG) Nr. 1223/2009 und zur Aufhebung der Richtlinien 90/385/EWG und 93/42/EWG des Rates (ABl. L 117 vom 5.5.2017, S. 1; L 117 vom 3.5.2019, S. 9; L 334 vom 27.12.2019, S. 165), die durch die Verordnung (EU) 2020/561 (ABl. L 130 vom 24.4.2020, S. 18) geändert worden ist, in der jeweils geltenden Fassung und im Sinne des § 3 Nummer 4 des Medizinproduktegesetzes in der bis einschließlich 25. Mai 2021 geltenden Fassung,</w:t>
      </w:r>
    </w:p>
    <w:p>
      <w:pPr>
        <w:ind w:left="420"/>
      </w:pPr>
      <w:r>
        <w:t xml:space="preserve">6. Umschließungen (wie ortsbewegliche Druckgeräte, Verpackungen und Tanks) für die Beförderung gefährlicher Güter, soweit diese verkehrsrechtlichen Vorschriften unterliegen, und</w:t>
      </w:r>
    </w:p>
    <w:p>
      <w:pPr>
        <w:ind w:left="420"/>
      </w:pPr>
      <w:r>
        <w:t xml:space="preserve">7. Pflanzenschutzmittel im Sinne des § 2 Nummer 9 des Pflanzenschutzgesetzes oder des Artikels 2 Absatz 1 der Verordnung (EG) Nr. 1107/2009 des Europäischen Parlaments und des Rates vom 21. Oktober 2009 über das Inverkehrbringen von Pflanzenschutzmitteln und zur Aufhebung der Richtlinien 79/117/EWG und 91/414/EWG des Rates (ABl. L 309 vom 24.11.2009, S. 1).</w:t>
      </w:r>
    </w:p>
    <w:p>
      <w:r>
        <w:t xml:space="preserve">Satz 1 Nummer 2 und 5 gilt nicht für die Vorschriften in Abschnitt 9 dieses Gesetzes.</w:t>
      </w:r>
    </w:p>
    <w:p>
      <w:r>
        <w:t xml:space="preserve">(4) Die Vorschriften dieses Gesetzes gelten nicht, soweit in anderen Rechtsvorschriften entsprechende oder weitergehende Vorschriften vorgesehen sind. Satz 1 gilt nicht für die Vorschriften in Abschnitt 9 dieses Gesetzes.</w:t>
      </w:r>
    </w:p>
    <w:p>
      <w:r>
        <w:rPr>
          <w:color w:val="555555"/>
          <w:sz w:val="17"/>
        </w:rPr>
        <w:t xml:space="preserve">Zitiervorschlag: § 1 ProdSG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https://recht.nulegal.eu/gesetze/ProdSG%202011/1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