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ProdSEVZV (Brandenburg) — Ordnungswidrigkeiten</w:t>
      </w:r>
    </w:p>
    <w:p>
      <w:r>
        <w:rPr>
          <w:color w:val="555555"/>
          <w:sz w:val="18"/>
        </w:rPr>
        <w:t xml:space="preserve">Produktsicherheits- und Energieverbrauchsrecht-Zuständigkeitsverordnung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Arbeitsschutz, Verbraucherschutz und Gesundheit ist zuständig für die Verfolgung und Ahndung von Ordnungswidrigkeiten nach den Rechtsvorschriften unter § 1.</w:t>
      </w:r>
    </w:p>
    <w:p>
      <w:r>
        <w:rPr>
          <w:color w:val="555555"/>
          <w:sz w:val="17"/>
        </w:rPr>
        <w:t xml:space="preserve">Zitiervorschlag: § 2 ProdSEVZV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https://recht.nulegal.eu/gesetze/ProdSEVZV/2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