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ProdHaftG — Schadensersatz durch Geldrente</w:t>
      </w:r>
    </w:p>
    <w:p>
      <w:r>
        <w:rPr>
          <w:color w:val="555555"/>
          <w:sz w:val="18"/>
        </w:rPr>
        <w:t xml:space="preserve">Produkthaftungsgesetz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Schadensersatz wegen Aufhebung oder Minderung der Erwerbsfähigkeit und wegen vermehrter Bedürfnisse des Verletzten sowie der nach § 7 Abs. 2 einem Dritten zu gewährende Schadensersatz ist für die Zukunft durch eine Geldrente zu leisten.</w:t>
      </w:r>
    </w:p>
    <w:p>
      <w:r>
        <w:t xml:space="preserve">(2) § 843 Abs. 2 bis 4 des Bürgerlichen Gesetzbuchs ist entsprechend anzuwenden.</w:t>
      </w:r>
    </w:p>
    <w:p>
      <w:r>
        <w:rPr>
          <w:color w:val="555555"/>
          <w:sz w:val="17"/>
        </w:rPr>
        <w:t xml:space="preserve">Zitiervorschlag: § 9 ProdHaftG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https://recht.nulegal.eu/gesetze/ProdHaftG/9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