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ProdHaftG — Haftungsminderung</w:t>
      </w:r>
    </w:p>
    <w:p>
      <w:r>
        <w:rPr>
          <w:color w:val="555555"/>
          <w:sz w:val="18"/>
        </w:rPr>
        <w:t xml:space="preserve">Produkthaftungsgesetz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Hat bei der Entstehung des Schadens ein Verschulden des Geschädigten mitgewirkt, so gilt § 254 des Bürgerlichen Gesetzbuchs; im Falle der Sachbeschädigung steht das Verschulden desjenigen, der die tatsächliche Gewalt über die Sache ausübt, dem Verschulden des Geschädigten gleich.</w:t>
      </w:r>
    </w:p>
    <w:p>
      <w:r>
        <w:t xml:space="preserve">(2) Die Haftung des Herstellers wird nicht gemindert, wenn der Schaden durch einen Fehler des Produkts und zugleich durch die Handlung eines Dritten verursacht worden ist. § 5 Satz 2 gilt entsprechend.</w:t>
      </w:r>
    </w:p>
    <w:p>
      <w:r>
        <w:rPr>
          <w:color w:val="555555"/>
          <w:sz w:val="17"/>
        </w:rPr>
        <w:t xml:space="preserve">Zitiervorschlag: § 6 ProdHaftG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https://recht.nulegal.eu/gesetze/ProdHaftG/6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