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ProdHaftG — Fehler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Produkt hat einen Fehler, wenn es nicht die Sicherheit bietet, die unter Berücksichtigung aller Umstände, insbesondere</w:t>
      </w:r>
    </w:p>
    <w:p>
      <w:pPr>
        <w:ind w:left="420"/>
      </w:pPr>
      <w:r>
        <w:t xml:space="preserve">a) seiner Darbietung,</w:t>
      </w:r>
    </w:p>
    <w:p>
      <w:pPr>
        <w:ind w:left="420"/>
      </w:pPr>
      <w:r>
        <w:t xml:space="preserve">b) des Gebrauchs, mit dem billigerweise gerechnet werden kann,</w:t>
      </w:r>
    </w:p>
    <w:p>
      <w:pPr>
        <w:ind w:left="420"/>
      </w:pPr>
      <w:r>
        <w:t xml:space="preserve">c) des Zeitpunkts, in dem es in den Verkehr gebracht wurde,</w:t>
      </w:r>
    </w:p>
    <w:p>
      <w:r>
        <w:t xml:space="preserve">berechtigterweise erwartet werden kann.</w:t>
      </w:r>
    </w:p>
    <w:p>
      <w:r>
        <w:t xml:space="preserve">(2) Ein Produkt hat nicht allein deshalb einen Fehler, weil später ein verbessertes Produkt in den Verkehr gebracht wurde.</w:t>
      </w:r>
    </w:p>
    <w:p>
      <w:r>
        <w:rPr>
          <w:color w:val="555555"/>
          <w:sz w:val="17"/>
        </w:rPr>
        <w:t xml:space="preserve">Zitiervorschlag: § 3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