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ProdHaftG — Verjährung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nach § 1 verjährt in drei Jahren von dem Zeitpunkt an, in dem der Ersatzberechtigte von dem Schaden, dem Fehler und von der Person des Ersatzpflichtigen Kenntnis erlangt hat oder hätte erlangen müssen.</w:t>
      </w:r>
    </w:p>
    <w:p>
      <w:r>
        <w:t xml:space="preserve">(2) Schweben zwischen dem Ersatzpflichtigen und dem Ersatzberechtigten Verhandlungen über den zu leistenden Schadensersatz, so ist die Verjährung gehemmt, bis die Fortsetzung der Verhandlungen verweigert wird.</w:t>
      </w:r>
    </w:p>
    <w:p>
      <w:r>
        <w:t xml:space="preserve">(3) Im übrigen sind die Vorschriften des Bürgerlichen Gesetzbuchs über die Verjährung anzuwenden.</w:t>
      </w:r>
    </w:p>
    <w:p>
      <w:r>
        <w:rPr>
          <w:color w:val="555555"/>
          <w:sz w:val="17"/>
        </w:rPr>
        <w:t xml:space="preserve">Zitiervorschlag: § 12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