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ProdHaftG — Selbstbeteiligung bei Sachbeschädigung</w:t>
      </w:r>
    </w:p>
    <w:p>
      <w:r>
        <w:rPr>
          <w:color w:val="555555"/>
          <w:sz w:val="18"/>
        </w:rPr>
        <w:t xml:space="preserve">Produkthaftungsgesetz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der Sachbeschädigung hat der Geschädigte einen Schaden bis zu einer Höhe von 500 Euro selbst zu tragen.</w:t>
      </w:r>
    </w:p>
    <w:p>
      <w:r>
        <w:rPr>
          <w:color w:val="555555"/>
          <w:sz w:val="17"/>
        </w:rPr>
        <w:t xml:space="preserve">Zitiervorschlag: § 11 ProdHaftG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https://recht.nulegal.eu/gesetze/ProdHaftG/11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