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ProdHaftG — Haftungshöchstbetrag</w:t>
      </w:r>
    </w:p>
    <w:p>
      <w:r>
        <w:rPr>
          <w:color w:val="555555"/>
          <w:sz w:val="18"/>
        </w:rPr>
        <w:t xml:space="preserve">Produkthaftungsgesetz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Personenschäden durch ein Produkt oder gleiche Produkte mit demselben Fehler verursacht worden, so haftet der Ersatzpflichtige nur bis zu einem Höchstbetrag von 85 Millionen Euro.</w:t>
      </w:r>
    </w:p>
    <w:p>
      <w:r>
        <w:t xml:space="preserve">(2) Übersteigen die den mehreren Geschädigten zu leistenden Entschädigungen den in Absatz 1 vorgesehenen Höchstbetrag, so verringern sich die einzelnen Entschädigungen in dem Verhältnis, in dem ihr Gesamtbetrag zu dem Höchstbetrag steht.</w:t>
      </w:r>
    </w:p>
    <w:p>
      <w:r>
        <w:rPr>
          <w:color w:val="555555"/>
          <w:sz w:val="17"/>
        </w:rPr>
        <w:t xml:space="preserve">Zitiervorschlag: § 10 ProdHaftG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https://recht.nulegal.eu/gesetze/ProdHaftG/10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