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ProdGewStatG — Verordnungsermächtigung</w:t>
      </w:r>
    </w:p>
    <w:p>
      <w:r>
        <w:rPr>
          <w:color w:val="555555"/>
          <w:sz w:val="18"/>
        </w:rPr>
        <w:t xml:space="preserve">Gesetz über die Statistik im Produzierenden Gewerbe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Bundesministerium für Wirtschaft und Energie wird ermächtigt, durch Rechtsverordnung mit Zustimmung des Bundesrates</w:t>
      </w:r>
    </w:p>
    <w:p>
      <w:pPr>
        <w:ind w:left="420"/>
      </w:pPr>
      <w:r>
        <w:t xml:space="preserve">1. die Erhebung von Sachverhalten auszusetzen, sofern die Ergebnisse nicht mehr benötigt werden,</w:t>
      </w:r>
    </w:p>
    <w:p>
      <w:pPr>
        <w:ind w:left="420"/>
      </w:pPr>
      <w:r>
        <w:t xml:space="preserve">2. zum Zwecke der Arbeitsersparnis die Berichtszeiträume zu verlängern.</w:t>
      </w:r>
    </w:p>
    <w:p>
      <w:r>
        <w:rPr>
          <w:color w:val="555555"/>
          <w:sz w:val="17"/>
        </w:rPr>
        <w:t xml:space="preserve">Zitiervorschlag: § 8 ProdGewStatG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https://recht.nulegal.eu/gesetze/ProdGewStatG/8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