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ProdGewStatG — Erhebungen bei Unternehmen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Erhebungen erfassen jährlich</w:t>
      </w:r>
    </w:p>
    <w:p>
      <w:pPr>
        <w:ind w:left="420"/>
      </w:pPr>
      <w:r>
        <w:t xml:space="preserve">I. bei höchstens 35 000 Unternehmen des Baugewerbes</w:t>
      </w:r>
    </w:p>
    <w:p>
      <w:pPr>
        <w:ind w:left="780"/>
      </w:pPr>
      <w:r>
        <w:t xml:space="preserve">1. die tätigen Personen,</w:t>
      </w:r>
    </w:p>
    <w:p>
      <w:pPr>
        <w:ind w:left="780"/>
      </w:pPr>
      <w:r>
        <w:t xml:space="preserve">2. die Lohn- und Gehaltssummen,</w:t>
      </w:r>
    </w:p>
    <w:p>
      <w:pPr>
        <w:ind w:left="780"/>
      </w:pPr>
      <w:r>
        <w:t xml:space="preserve">3. den Umsatz, bei Unternehmen des Bauhauptgewerbes auch die Jahresbauleistung,</w:t>
      </w:r>
    </w:p>
    <w:p>
      <w:pPr>
        <w:ind w:left="780"/>
      </w:pPr>
      <w:r>
        <w:t xml:space="preserve">4. die Investitionen,</w:t>
      </w:r>
    </w:p>
    <w:p>
      <w:pPr>
        <w:ind w:left="780"/>
      </w:pPr>
      <w:r>
        <w:t xml:space="preserve">5. den Verkaufserlös aus dem Abgang von Anlagegütern;</w:t>
      </w:r>
    </w:p>
    <w:p>
      <w:pPr>
        <w:ind w:left="420"/>
      </w:pPr>
      <w:r>
        <w:t xml:space="preserve">II. bei höchstens 12 000 Unternehmen des Baugewerbes</w:t>
      </w:r>
    </w:p>
    <w:p>
      <w:pPr>
        <w:ind w:left="780"/>
      </w:pPr>
      <w:r>
        <w:t xml:space="preserve">1. die tätigen Personen,</w:t>
      </w:r>
    </w:p>
    <w:p>
      <w:pPr>
        <w:ind w:left="780"/>
      </w:pPr>
      <w:r>
        <w:t xml:space="preserve">2. den Umsatz, bei Unternehmen des Bauhauptgewerbes auch die Jahresbauleistung,</w:t>
      </w:r>
    </w:p>
    <w:p>
      <w:pPr>
        <w:ind w:left="780"/>
      </w:pPr>
      <w:r>
        <w:t xml:space="preserve">3. die selbst erstellten Anlagen,</w:t>
      </w:r>
    </w:p>
    <w:p>
      <w:pPr>
        <w:ind w:left="780"/>
      </w:pPr>
      <w:r>
        <w:t xml:space="preserve">4. die Material- und Warenbestände einschließlich fertiger und unfertiger Erzeugnisse am Anfang und Ende des Jahres,</w:t>
      </w:r>
    </w:p>
    <w:p>
      <w:pPr>
        <w:ind w:left="780"/>
      </w:pPr>
      <w:r>
        <w:t xml:space="preserve">5. den Material- und Wareneingang,</w:t>
      </w:r>
    </w:p>
    <w:p>
      <w:pPr>
        <w:ind w:left="780"/>
      </w:pPr>
      <w:r>
        <w:t xml:space="preserve">6. die Kosten nach Kostenarten,</w:t>
      </w:r>
    </w:p>
    <w:p>
      <w:pPr>
        <w:ind w:left="780"/>
      </w:pPr>
      <w:r>
        <w:t xml:space="preserve">7. die Umsatzsteuer,</w:t>
      </w:r>
    </w:p>
    <w:p>
      <w:pPr>
        <w:ind w:left="780"/>
      </w:pPr>
      <w:r>
        <w:t xml:space="preserve">8. die Subventionen;</w:t>
      </w:r>
    </w:p>
    <w:p>
      <w:pPr>
        <w:ind w:left="420"/>
      </w:pPr>
      <w:r>
        <w:t xml:space="preserve">bei Unternehmen mit weniger als 20 Beschäftigten, von denen höchstens 6 000 befragt werden, werden nur die Sachverhalte nach den Nummern 1, 2 und 6 sowie zusätzlich die Investitionen erfasst.</w:t>
      </w:r>
    </w:p>
    <w:p>
      <w:r>
        <w:rPr>
          <w:color w:val="555555"/>
          <w:sz w:val="17"/>
        </w:rPr>
        <w:t xml:space="preserve">Zitiervorschlag: § 5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