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ProdGewStatG — Übermittlungsregelung</w:t>
      </w:r>
    </w:p>
    <w:p>
      <w:r>
        <w:rPr>
          <w:color w:val="555555"/>
          <w:sz w:val="18"/>
        </w:rPr>
        <w:t xml:space="preserve">Gesetz über die Statistik im Produzierenden Gewerbe</w:t>
      </w:r>
    </w:p>
    <w:p>
      <w:r>
        <w:rPr>
          <w:color w:val="555555"/>
          <w:sz w:val="18"/>
        </w:rPr>
        <w:t xml:space="preserve">Stand: 10.06.2019 (konsolidierte Textfassung, kein amtliches Inkrafttretensdatum)</w:t>
      </w:r>
    </w:p>
    <w:p>
      <w:r>
        <w:t xml:space="preserve">(1) An die obersten Bundes- und Landesbehörden dürfen für die Verwendung gegenüber den gesetzgebenden Körperschaften und für Zwecke der Planung, jedoch nicht für die Regelung von Einzelfällen, vom Statistischen Bundesamt und den statistischen Ämtern der Länder Tabellen mit statistischen Ergebnissen übermittelt werden, auch sowie Tabellenfelder nur einen einzigen Fall ausweisen.</w:t>
      </w:r>
    </w:p>
    <w:p>
      <w:r>
        <w:t xml:space="preserve">(2) An das Umweltbundesamt dürfen zur Erfüllung europa- und völkerrechtlicher Pflichten der Bundesrepublik Deutschland zur Emissionsberichterstattung, jedoch nicht für die Regelung von Einzelfällen, vom Statistischen Bundesamt Tabellen mit statistischen Ergebnissen übermittelt werden, auch soweit Tabellenfelder nur einen einzigen Fall ausweisen. Die Tabellen dürfen nur von den für diese Aufgabe zuständigen Organisationseinheiten des Umweltbundesamtes gespeichert und genutzt werden. Diese Organisationseinheiten müssen von den mit Vollzugsaufgaben befassten Organisationseinheiten des Umweltbundesamtes räumlich, organisatorisch und personell getrennt sein.</w:t>
      </w:r>
    </w:p>
    <w:p>
      <w:r>
        <w:rPr>
          <w:color w:val="555555"/>
          <w:sz w:val="17"/>
        </w:rPr>
        <w:t xml:space="preserve">Zitiervorschlag: § 10 ProdGewStatG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https://recht.nulegal.eu/gesetze/ProdGewStatG/10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