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ProdGewStatG</w:t>
      </w:r>
    </w:p>
    <w:p>
      <w:r>
        <w:rPr>
          <w:color w:val="555555"/>
          <w:sz w:val="18"/>
        </w:rPr>
        <w:t xml:space="preserve">Gesetz über die Statistik im Produzierenden Gewerbe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Produzierenden Gewerbe, das Bergbau und Gewinnung von Steinen und Erden, Verarbeitendes Gewerbe, Energieversorgung, Wasserversorgung, Abwasser- und Abfallentsorgung und Beseitigung von Umweltverschmutzungen sowie Baugewerbe umfasst, werden statistische Erhebungen als Bundesstatistik durchgeführt.</w:t>
      </w:r>
    </w:p>
    <w:p>
      <w:r>
        <w:rPr>
          <w:color w:val="555555"/>
          <w:sz w:val="17"/>
        </w:rPr>
        <w:t xml:space="preserve">Zitiervorschlag: § 1 ProdGewStatG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https://recht.nulegal.eu/gesetze/ProdGewStatG/1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