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ProTechPrV — Gliederung der Prüfung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gliedert sich in die Prüfungsteile:</w:t>
      </w:r>
    </w:p>
    <w:p>
      <w:pPr>
        <w:ind w:left="420"/>
      </w:pPr>
      <w:r>
        <w:t xml:space="preserve">1. Produktionsprozesse,</w:t>
      </w:r>
    </w:p>
    <w:p>
      <w:pPr>
        <w:ind w:left="420"/>
      </w:pPr>
      <w:r>
        <w:t xml:space="preserve">2. Prozessmanagement,</w:t>
      </w:r>
    </w:p>
    <w:p>
      <w:pPr>
        <w:ind w:left="420"/>
      </w:pPr>
      <w:r>
        <w:t xml:space="preserve">3. Mitarbeiterführung und Personalmanagement.</w:t>
      </w:r>
    </w:p>
    <w:p>
      <w:r>
        <w:t xml:space="preserve">Die einzelnen Prüfungsteile können in beliebiger Reihenfolge geprüft werden; dabei ist mit dem letzten Prüfungsteil spätestens fünf Jahre nach dem ersten Prüfungstag des ersten Prüfungsteils zu beginnen.</w:t>
      </w:r>
    </w:p>
    <w:p>
      <w:r>
        <w:rPr>
          <w:color w:val="555555"/>
          <w:sz w:val="17"/>
        </w:rPr>
        <w:t xml:space="preserve">Zitiervorschlag: § 3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