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ProTechPrV — Zulassungsvoraussetzungen</w:t>
      </w:r>
    </w:p>
    <w:p>
      <w:r>
        <w:rPr>
          <w:color w:val="555555"/>
          <w:sz w:val="18"/>
        </w:rPr>
        <w:t xml:space="preserve">Verordnung über die Prüfung zum anerkannten Abschluss Geprüfter Prozessmanager – Produktionstechnologie/Geprüfte Prozessmanagerin – Produktionstechnologie</w:t>
      </w:r>
    </w:p>
    <w:p>
      <w:r>
        <w:rPr>
          <w:color w:val="555555"/>
          <w:sz w:val="18"/>
        </w:rPr>
        <w:t xml:space="preserve">Stand: 10.06.2019 (konsolidierte Textfassung, kein amtliches Inkrafttretensdatum)</w:t>
      </w:r>
    </w:p>
    <w:p>
      <w:r>
        <w:t xml:space="preserve">(1) Zur Prüfung ist zuzulassen, wer</w:t>
      </w:r>
    </w:p>
    <w:p>
      <w:pPr>
        <w:ind w:left="420"/>
      </w:pPr>
      <w:r>
        <w:t xml:space="preserve">1. eine mit Erfolg abgelegte Abschlussprüfung im anerkannten Ausbildungsberuf „Produktionstechnologe/Produktionstechnologin“ und danach eine mindestens einjährige Berufspraxis oder</w:t>
      </w:r>
    </w:p>
    <w:p>
      <w:pPr>
        <w:ind w:left="420"/>
      </w:pPr>
      <w:r>
        <w:t xml:space="preserve">2. eine mit Erfolg abgelegte Abschlussprüfung in einem sonstigen anerkannten Ausbildungsberuf und danach eine mindestens zweijährige Berufspraxis oder</w:t>
      </w:r>
    </w:p>
    <w:p>
      <w:pPr>
        <w:ind w:left="420"/>
      </w:pPr>
      <w:r>
        <w:t xml:space="preserve">3. eine mindestens vierjährige Berufspraxis</w:t>
      </w:r>
    </w:p>
    <w:p>
      <w:r>
        <w:t xml:space="preserve">nachweist.</w:t>
      </w:r>
    </w:p>
    <w:p>
      <w:r>
        <w:t xml:space="preserve">(2) Die Berufspraxis nach Absatz 1 Nr. 1 bis 3 muss wesentliche Bezüge zu den Aufgaben eines Geprüften Prozessmanagers – Produktionstechnologie/einer Geprüften Prozessmanagerin – Produktionstechnologie im Sinne des § 1 Abs. 2 und 3 haben und eine Qualifikation eines der Spezialisten in der Produktionstechnologie nach der Anlage oder eine fachlich und nach Breite und Tiefe entsprechende Qualifikation beinhalten.</w:t>
      </w:r>
    </w:p>
    <w:p>
      <w:r>
        <w:t xml:space="preserve">(3) Abweichend von den in den Absätzen 1 und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2 ProTechPrV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https://recht.nulegal.eu/gesetze/ProTechPrV/2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