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ProMechGebV</w:t>
      </w:r>
    </w:p>
    <w:p>
      <w:r>
        <w:rPr>
          <w:color w:val="555555"/>
          <w:sz w:val="18"/>
        </w:rPr>
        <w:t xml:space="preserve">Projekt-Mechanismen-Gebührenverordnung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14 des Projekt-Mechanismen-Gesetzes vom 22. September 2005 (BGBl. I S. 2826) in Verbindung mit dem 2. Abschnitt des Verwaltungskostengesetzes vom 23. Juni 1970 (BGBl. I S. 821) verordnet das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ProMechGebV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https://recht.nulegal.eu/gesetze/ProMechGebV/eingangsformel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